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AtSMV — Bestellung des kerntechnischen Sicherheitsbeauftragten</w:t>
      </w:r>
    </w:p>
    <w:p>
      <w:r>
        <w:rPr>
          <w:color w:val="555555"/>
          <w:sz w:val="18"/>
        </w:rPr>
        <w:t xml:space="preserve">Atomrechtliche Sicherheitsbeauftragten- und Meldeverordnung</w:t>
      </w:r>
    </w:p>
    <w:p>
      <w:r>
        <w:rPr>
          <w:color w:val="555555"/>
          <w:sz w:val="18"/>
        </w:rPr>
        <w:t xml:space="preserve">Stand: 10.06.2019 (konsolidierte Textfassung, kein amtliches Inkrafttretensdatum)</w:t>
      </w:r>
    </w:p>
    <w:p>
      <w:r>
        <w:t xml:space="preserve">(1) Der Inhaber einer Genehmigung zum Betrieb einer Anlage nach § 7 Absatz 1 des Atomgesetzes (Betreiber) hat für die Dauer des Betriebs der Anlage bis zur Erteilung einer Genehmigung zur Stilllegung der Anlage nach § 7 Absatz 3 des Atomgesetzes und darüber hinaus bis zur Kernbrennstofffreiheit der Anlage einen kerntechnischen Sicherheitsbeauftragten (Sicherheitsbeauftragten) und dessen Vertreter schriftlich zu bestellen. Werden von dem Betreiber mehrere Anlagen auf demselben Gelände betrieben, kann ein gemeinsamer Sicherheitsbeauftragter bestellt werden. Die Aufsichtsbehörde kann den Betreiber von der Verpflichtung zur Bestellung eines Sicherheitsbeauftragten befreien, soweit wegen der Menge oder Beschaffenheit der Kernbrennstoffe oder wegen bestimmter Schutzmaßnahmen oder Sicherheitseinrichtungen eine Bestellung nicht erforderlich ist.</w:t>
      </w:r>
    </w:p>
    <w:p>
      <w:r>
        <w:t xml:space="preserve">(2) Der Betreiber hat der Aufsichtsbehörde unverzüglich die Bestellung des Sicherheitsbeauftragten mit Angabe der innerbetrieblichen Stellung, jede Änderung dieser Stellung sowie das Ausscheiden schriftlich anzuzeigen. Dem Sicherheitsbeauftragten und dem Betriebs- oder Personalrat ist eine Abschrift der Anzeige auszuhändigen.</w:t>
      </w:r>
    </w:p>
    <w:p>
      <w:r>
        <w:t xml:space="preserve">(3) Zum Sicherheitsbeauftragten darf nur eine Person bestellt werden, gegen die keine Tatsachen vorliegen, aus denen sich Bedenken gegen ihre Zuverlässigkeit ergeben, und die die für die Erfüllung ihrer Aufgaben erforderliche Fachkunde besitzt. Bei der Anzeige der Bestellung ist der Nachweis der Fachkunde zu erbringen. Werden der Aufsichtsbehörde Tatsachen bekannt, aus denen sich ergibt, daß der Sicherheitsbeauftragte nicht die zur Erfüllung seiner Aufgaben erforderliche Fachkunde oder Zuverlässigkeit besitzt, kann sie verlangen, daß der Betreiber einen anderen Sicherheitsbeauftragten bestellt.</w:t>
      </w:r>
    </w:p>
    <w:p>
      <w:r>
        <w:t xml:space="preserve">(4) Auf den Vertreter entsprechend anzuwenden sind:</w:t>
      </w:r>
    </w:p>
    <w:p>
      <w:pPr>
        <w:ind w:left="420"/>
      </w:pPr>
      <w:r>
        <w:t xml:space="preserve">1. Absatz 1 Satz 2 und 3,</w:t>
      </w:r>
    </w:p>
    <w:p>
      <w:pPr>
        <w:ind w:left="420"/>
      </w:pPr>
      <w:r>
        <w:t xml:space="preserve">2. die Absätze 2 und 3 sowie</w:t>
      </w:r>
    </w:p>
    <w:p>
      <w:pPr>
        <w:ind w:left="420"/>
      </w:pPr>
      <w:r>
        <w:t xml:space="preserve">3. die §§ 3 bis 5 und § 10.</w:t>
      </w:r>
    </w:p>
    <w:p>
      <w:r>
        <w:rPr>
          <w:color w:val="555555"/>
          <w:sz w:val="17"/>
        </w:rPr>
        <w:t xml:space="preserve">Zitiervorschlag: § 2 AtSMV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https://recht.nulegal.eu/gesetze/AtSMV/2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