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AtSMV — Verhältnis zu anderen Vorschriften</w:t>
      </w:r>
    </w:p>
    <w:p>
      <w:r>
        <w:rPr>
          <w:color w:val="555555"/>
          <w:sz w:val="18"/>
        </w:rPr>
        <w:t xml:space="preserve">Atomrechtliche Sicherheitsbeauftragten- und Meldeverordnung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108 bis 110 der Strahlenschutzverordnung finden im Anwendungsbereich dieser Verordnung keine Anwendung.</w:t>
      </w:r>
    </w:p>
    <w:p>
      <w:r>
        <w:rPr>
          <w:color w:val="555555"/>
          <w:sz w:val="17"/>
        </w:rPr>
        <w:t xml:space="preserve">Zitiervorschlag: § 12 AtSMV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https://recht.nulegal.eu/gesetze/AtSMV/12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