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AtSMV — Ordnungswidrigkeiten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Ordnungswidrig im Sinne des § 46 Abs. 1 Nr. 4 des Atomgesetzes handelt, wer vorsätzlich oder fahrlässig</w:t>
      </w:r>
    </w:p>
    <w:p>
      <w:pPr>
        <w:ind w:left="420"/>
      </w:pPr>
      <w:r>
        <w:t xml:space="preserve">1. entgegen § 6 Absatz 1 oder Absatz 3, jeweils in Verbindung mit § 7 Absatz 1 Satz 1 oder § 8 Absatz 1 Satz 1, jeweils auch in Verbindung mit § 1 Absatz 2 oder § 8 Absatz 6, oder entgegen § 8 Absatz 2 Satz 2 oder Satz 3 eine Meldung nicht, nicht richtig, nicht vollständig oder nicht rechtzeitig macht, eine Anzeige nicht, nicht richtig, nicht vollständig oder nicht rechtzeitig erstattet oder eine Meldung nicht, nicht richtig, nicht vollständig oder nicht rechtzeitig vorlegt,</w:t>
      </w:r>
    </w:p>
    <w:p>
      <w:pPr>
        <w:ind w:left="420"/>
      </w:pPr>
      <w:r>
        <w:t xml:space="preserve">1a. (weggefallen)</w:t>
      </w:r>
    </w:p>
    <w:p>
      <w:pPr>
        <w:ind w:left="420"/>
      </w:pPr>
      <w:r>
        <w:t xml:space="preserve">2. entgegen § 9 Abs. 1 eine Anzeige nicht, nicht richtig oder nicht rechtzeitig erstattet oder</w:t>
      </w:r>
    </w:p>
    <w:p>
      <w:pPr>
        <w:ind w:left="420"/>
      </w:pPr>
      <w:r>
        <w:t xml:space="preserve">3. entgegen § 10 das Ergebnis der Prüfung nicht oder nicht richtig vermerkt.</w:t>
      </w:r>
    </w:p>
    <w:p>
      <w:r>
        <w:rPr>
          <w:color w:val="555555"/>
          <w:sz w:val="17"/>
        </w:rPr>
        <w:t xml:space="preserve">Zitiervorschlag: § 11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