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AtSMV — Prüfung durch den Sicherheitsbeauftragten</w:t>
      </w:r>
    </w:p>
    <w:p>
      <w:r>
        <w:rPr>
          <w:color w:val="555555"/>
          <w:sz w:val="18"/>
        </w:rPr>
        <w:t xml:space="preserve">Atomrechtliche Sicherheitsbeauftragten- und Meldeverordnung</w:t>
      </w:r>
    </w:p>
    <w:p>
      <w:r>
        <w:rPr>
          <w:color w:val="555555"/>
          <w:sz w:val="18"/>
        </w:rPr>
        <w:t xml:space="preserve">Stand: 10.06.2019 (konsolidierte Textfassung, kein amtliches Inkrafttretensdatum)</w:t>
      </w:r>
    </w:p>
    <w:p>
      <w:r>
        <w:t xml:space="preserve">Der Sicherheitsbeauftragte hat die Richtigkeit und Vollständigkeit der Meldung eines meldepflichtigen Ereignisses zu prüfen, das Ergebnis seiner Prüfung auf dem Meldeformular zu vermerken und mit seiner Unterschrift zu versehen. Gleiches gilt für die Anzeige nach § 9 Abs. 1.</w:t>
      </w:r>
    </w:p>
    <w:p>
      <w:r>
        <w:rPr>
          <w:color w:val="555555"/>
          <w:sz w:val="17"/>
        </w:rPr>
        <w:t xml:space="preserve">Zitiervorschlag: § 10 AtSMV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https://recht.nulegal.eu/gesetze/AtSMV/10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