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AtSMV — Anwendungsbereich</w:t>
      </w:r>
    </w:p>
    <w:p>
      <w:r>
        <w:rPr>
          <w:color w:val="555555"/>
          <w:sz w:val="18"/>
        </w:rPr>
        <w:t xml:space="preserve">Atomrechtliche Sicherheitsbeauftragten- und 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Anlagen nach § 7 Absatz 1 des Atomgesetzes.</w:t>
      </w:r>
    </w:p>
    <w:p>
      <w:r>
        <w:t xml:space="preserve">(2) Für folgende Aufbewahrungen, Anlagen und Einrichtungen gelten die §§ 6 bis 8, § 9 Absatz 2 und § 12:</w:t>
      </w:r>
    </w:p>
    <w:p>
      <w:pPr>
        <w:ind w:left="420"/>
      </w:pPr>
      <w:r>
        <w:t xml:space="preserve">1. Aufbewahrungen nach § 6 des Atomgesetzes,</w:t>
      </w:r>
    </w:p>
    <w:p>
      <w:pPr>
        <w:ind w:left="420"/>
      </w:pPr>
      <w:r>
        <w:t xml:space="preserve">2. Anlagen in Stilllegung nach § 7 Absatz 3 des Atomgesetzes,</w:t>
      </w:r>
    </w:p>
    <w:p>
      <w:pPr>
        <w:ind w:left="420"/>
      </w:pPr>
      <w:r>
        <w:t xml:space="preserve">3. Anlagen nach § 9b des Atomgesetzes und die Schachtanlage Asse II sowie</w:t>
      </w:r>
    </w:p>
    <w:p>
      <w:pPr>
        <w:ind w:left="420"/>
      </w:pPr>
      <w:r>
        <w:t xml:space="preserve">4. Einrichtungen mit einer Genehmigung zur Lagerung, Bearbeitung oder Verarbeitung radioaktiver Stoffe als radioaktive Abfälle, mit dem Ziel, diese radioaktiven Abfälle geordnet zu beseitigen, nach § 9 des Atomgesetzes oder § 12 Absatz 1 Nummer 3 des Strahlenschutzgesetzes.</w:t>
      </w:r>
    </w:p>
    <w:p>
      <w:r>
        <w:t xml:space="preserve">(3) Diese Verordnung gilt nicht</w:t>
      </w:r>
    </w:p>
    <w:p>
      <w:pPr>
        <w:ind w:left="420"/>
      </w:pPr>
      <w:r>
        <w:t xml:space="preserve">1. für Anlagen zur Spaltung von Kernbrennstoffen, deren Höchstleistung 50 Kilowatt thermischer Dauerleistung nicht überschreitet, sowie</w:t>
      </w:r>
    </w:p>
    <w:p>
      <w:pPr>
        <w:ind w:left="420"/>
      </w:pPr>
      <w:r>
        <w:t xml:space="preserve">2. für Anlagen in Stilllegung nach § 7 Absatz 3 des Atomgesetzes, für Einrichtungen mit einer Genehmigung zur Lagerung, Bearbeitung oder Verarbeitung radioaktiver Stoffe als radioaktive Abfälle mit dem Ziel, diese radioaktiven Abfälle geordnet zu beseitigen, nach § 9 des Atomgesetzes oder § 12 Absatz 1 Nummer 3 des Strahlenschutzgesetzes, sofern</w:t>
      </w:r>
    </w:p>
    <w:p>
      <w:pPr>
        <w:ind w:left="780"/>
      </w:pPr>
      <w:r>
        <w:t xml:space="preserve">a) kein Kernbrennstoff in der Anlage vorhanden ist und</w:t>
      </w:r>
    </w:p>
    <w:p>
      <w:pPr>
        <w:ind w:left="780"/>
      </w:pPr>
      <w:r>
        <w:t xml:space="preserve">b) das verbliebene Aktivitätsinventar bei offenen radioaktiven Stoffen nicht mehr als das 107fache und bei umschlossenen radioaktiven Stoffen nicht mehr als das 1010fache der Freigrenzen nach Anlage 4 Tabelle 1 Spalte 2 der Strahlenschutzverordnung beträgt.</w:t>
      </w:r>
    </w:p>
    <w:p>
      <w:r>
        <w:rPr>
          <w:color w:val="555555"/>
          <w:sz w:val="17"/>
        </w:rPr>
        <w:t xml:space="preserve">Zitiervorschlag: § 1 AtSMV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https://recht.nulegal.eu/gesetze/AtSMV/1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