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AtKostV — Übergangsregelung</w:t>
      </w:r>
    </w:p>
    <w:p>
      <w:r>
        <w:rPr>
          <w:color w:val="555555"/>
          <w:sz w:val="18"/>
        </w:rPr>
        <w:t xml:space="preserve">Kostenverordnung zum Atomgesetz und zum 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(weggefallen)</w:t>
      </w:r>
    </w:p>
    <w:p>
      <w:r>
        <w:t xml:space="preserve">(2) Die durch die Zweite Verordnung zur Änderung der Kostenverordnung zum Atomgesetz vom 15. Dezember 2004 (BGBl. I S. 3463) geänderten Vorschriften sind auch auf die am 21. Dezember 2004 anhängigen Verwaltungsverfahren anzuwenden, soweit in diesem Zeitpunkt die Kosten nicht bereits festgesetzt sind.</w:t>
      </w:r>
    </w:p>
    <w:p>
      <w:r>
        <w:rPr>
          <w:color w:val="555555"/>
          <w:sz w:val="17"/>
        </w:rPr>
        <w:t xml:space="preserve">Zitiervorschlag: § 9 AtKostV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https://recht.nulegal.eu/gesetze/AtKostV/9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