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AtKostV — Befreiung und Ermäßigung</w:t>
      </w:r>
    </w:p>
    <w:p>
      <w:r>
        <w:rPr>
          <w:color w:val="555555"/>
          <w:sz w:val="18"/>
        </w:rPr>
        <w:t xml:space="preserve">Kostenverordnung zum Atomgesetz und zum 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der Erhebung einer Gebühr kann ganz oder teilweise abgesehen werden, wenn dies im Einzelfall aus Gründen des öffentlichen Interesses oder der Billigkeit geboten ist.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6 AtKostV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https://recht.nulegal.eu/gesetze/AtKostV/6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