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AtKostV — Gebührenbemessung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Kosten der Errichtung sind die Aufwendungen des Antragstellers für die nach dem Atomgesetz genehmigungsbedürftigen Anlagenteile.</w:t>
      </w:r>
    </w:p>
    <w:p>
      <w:r>
        <w:t xml:space="preserve">(2) Aufwendungen für den Grunderwerb, die Entwicklung und Vorplanung gehören nicht zu den Kosten der Errichtung.</w:t>
      </w:r>
    </w:p>
    <w:p>
      <w:r>
        <w:rPr>
          <w:color w:val="555555"/>
          <w:sz w:val="17"/>
        </w:rPr>
        <w:t xml:space="preserve">Zitiervorschlag: § 3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