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AtKostV — Inkrafttreten</w:t>
      </w:r>
    </w:p>
    <w:p>
      <w:r>
        <w:rPr>
          <w:color w:val="555555"/>
          <w:sz w:val="18"/>
        </w:rPr>
        <w:t xml:space="preserve">Kostenverordnung zum Atomgesetz und zum 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tritt, mit Ausnahme des § 7 Abs. 2, am Tage nach der Verkündung in Kraft.</w:t>
      </w:r>
    </w:p>
    <w:p>
      <w:r>
        <w:t xml:space="preserve">(2) Das Inkrafttreten des § 7 Abs. 2 wird in der Verordnung nach § 21b des Atomgesetzes bestimmt.</w:t>
      </w:r>
    </w:p>
    <w:p>
      <w:r>
        <w:rPr>
          <w:color w:val="555555"/>
          <w:sz w:val="17"/>
        </w:rPr>
        <w:t xml:space="preserve">Zitiervorschlag: § 11 AtKostV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https://recht.nulegal.eu/gesetze/AtKostV/11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