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AtKostV — Anwendungsbereich</w:t>
      </w:r>
    </w:p>
    <w:p>
      <w:r>
        <w:rPr>
          <w:color w:val="555555"/>
          <w:sz w:val="18"/>
        </w:rPr>
        <w:t xml:space="preserve">Kostenverordnung zum Atomgesetz und zum Strahlenschutzgesetz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Die nach den §§ 23a, 23d und 24 des Atomgesetzes zuständigen Behörden erheben Kosten (Gebühren und Auslagen) nach § 21 des Atomgesetzes und nach dieser Verordnung. Die nach § 81 Satz 3 des Strahlenschutzgesetzes und den §§ 184, 185, 186, 187, 189, 190 und 190a des Strahlenschutzgesetzes zuständigen Behörden sowie die nach § 184a des Strahlenschutzgesetzes zuständige Ethik-Kommission erheben Kosten nach § 183 des Strahlenschutzgesetzes und nach dieser Verordnung. Ergänzend gelten die Vorschriften des Verwaltungskostengesetzes in der bis zum 14. August 2013 geltenden Fassung. § 8 des Verwaltungskostengesetzes in der bis zum 14. August 2013 geltenden Fassung gilt nicht, wenn die nach § 184a des Strahlenschutzgesetzes zuständige Ethik-Kommission oder die nach § 190a des Strahlenschutzgesetzes zuständige Behörde Kosten erhebt.</w:t>
      </w:r>
    </w:p>
    <w:p>
      <w:r>
        <w:rPr>
          <w:color w:val="555555"/>
          <w:sz w:val="17"/>
        </w:rPr>
        <w:t xml:space="preserve">Zitiervorschlag: § 1 AtKostV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https://recht.nulegal.eu/gesetze/AtKostV/1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