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4 AtHaftÜbkG</w:t>
      </w:r>
    </w:p>
    <w:p>
      <w:r>
        <w:rPr>
          <w:color w:val="555555"/>
          <w:sz w:val="18"/>
        </w:rPr>
        <w:t xml:space="preserve">Gesetz zu den Pariser und Brüsseler Atomhaftungs-Übereinkommen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Die Tage, an denen das Pariser Übereinkommen nebst Zusatzprotokoll nach seinem Artikel 19, das Brüsseler Reaktorschiff-Übereinkommen nebst Zusatzprotokoll nach seinem Artikel XXIV, das Brüsseler Zusatzübereinkommen nebst Zusatzprotokoll nach seinem Artikel 20 und das Brüsseler Kernmaterial-Seetransport-Übereinkommen nach seinem Artikel 6 für die Bundesrepublik Deutschland in Kraft treten, sind im Bundesgesetzblatt bekanntzugeben.</w:t>
      </w:r>
    </w:p>
    <w:p>
      <w:r>
        <w:t xml:space="preserve">(3) Der Bundesminister des Innern wird ermächtigt, das Pariser Übereinkommen und das Brüsseler Zusatzübereinkommen jeweils in der Fassung der Zusatzprotokolle bekanntzumachen.</w:t>
      </w:r>
    </w:p>
    <w:p>
      <w:r>
        <w:rPr>
          <w:color w:val="555555"/>
          <w:sz w:val="17"/>
        </w:rPr>
        <w:t xml:space="preserve">Zitiervorschlag: Art 4 AtHaftÜbkG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https://recht.nulegal.eu/gesetze/AtHaft%C3%9CbkG/4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4 AtHaftÜbkG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