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1a AtHaftÜbkG</w:t>
      </w:r>
    </w:p>
    <w:p>
      <w:r>
        <w:rPr>
          <w:color w:val="555555"/>
          <w:sz w:val="18"/>
        </w:rPr>
        <w:t xml:space="preserve">Gesetz zu den Pariser und Brüsseler Atomhaftungs-Übereinkommen</w:t>
      </w:r>
    </w:p>
    <w:p>
      <w:r>
        <w:rPr>
          <w:color w:val="555555"/>
          <w:sz w:val="18"/>
        </w:rPr>
        <w:t xml:space="preserve">Stand: 10.06.2019 (konsolidierte Textfassung, kein amtliches Inkrafttretensdatum)</w:t>
      </w:r>
    </w:p>
    <w:p>
      <w:r>
        <w:t xml:space="preserve">Die Umrechnung der in Artikel III Abs. 4 Satz 1 des Übereinkommens vom 25. Mai 1962 über die Haftung der Inhaber von Reaktorschiffen genannten Rechnungseinheit im Werte von 65 1/2 Milligramm Gold von 900/1.000 Feingehalt in Euro wird über das Sonderziehungsrecht des Internationalen Währungsfonds vorgenommen, wobei fünfzehn Werteinheiten einem Sonderziehungsrecht entsprechen. Der in Sonderziehungsrechten ausgedrückte Wert des Euro wird nach der Berechnungsmethode ermittelt, die der Internationale Währungsfonds für seine Operationen und Transaktionen anwendet.</w:t>
      </w:r>
    </w:p>
    <w:p>
      <w:r>
        <w:rPr>
          <w:color w:val="555555"/>
          <w:sz w:val="17"/>
        </w:rPr>
        <w:t xml:space="preserve">Zitiervorschlag: Art 1a AtHaftÜbkG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https://recht.nulegal.eu/gesetze/AtHaft%C3%9CbkG/1a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