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9i AtG — Bestandsaufnahme und Schätzung</w:t>
      </w:r>
    </w:p>
    <w:p>
      <w:r>
        <w:rPr>
          <w:color w:val="555555"/>
          <w:sz w:val="18"/>
        </w:rPr>
        <w:t xml:space="preserve">Atomgesetz</w:t>
      </w:r>
    </w:p>
    <w:p>
      <w:r>
        <w:rPr>
          <w:color w:val="555555"/>
          <w:sz w:val="18"/>
        </w:rPr>
        <w:t xml:space="preserve">Stand: 10.06.2019 (konsolidierte Textfassung, kein amtliches Inkrafttretensdatum)</w:t>
      </w:r>
    </w:p>
    <w:p>
      <w:r>
        <w:t xml:space="preserve">(1) Das für die kerntechnische Sicherheit und den Strahlenschutz zuständige Bundesministerium erstellt erstmals bis spätestens 23. August 2015 und danach alle drei Jahre</w:t>
      </w:r>
    </w:p>
    <w:p>
      <w:pPr>
        <w:ind w:left="420"/>
      </w:pPr>
      <w:r>
        <w:t xml:space="preserve">1. eine nationale Bestandsaufnahme der Mengen, Arten, Eigenschaften und Standorte aller angefallenen oder gelagerten abgebrannten Brennelemente und radioaktiven Abfälle sowie</w:t>
      </w:r>
    </w:p>
    <w:p>
      <w:pPr>
        <w:ind w:left="420"/>
      </w:pPr>
      <w:r>
        <w:t xml:space="preserve">2. eine Schätzung der zukünftig anfallenden oder zu lagernden Mengen abgebrannter Brennelemente und radioaktiver Abfälle, klassifiziert nach Arten und Eigenschaften sowie unter Berücksichtigung von Stilllegungsmaßnahmen.</w:t>
      </w:r>
    </w:p>
    <w:p>
      <w:r>
        <w:t xml:space="preserve">(2) Zur Vorbereitung der Erstellung der Bestandsaufnahme nach Absatz 1 sind die nach § 9a Absatz 1 Satz 1 Entsorgungspflichtigen und die Besitzer abgebrannter Brennelemente oder radioaktiver Abfälle, sofern beide ihre radioaktiven Abfälle nicht nach einer aufgrund dieses Gesetzes erlassenen Rechtsverordnung an eine Landessammelstelle abzuliefern haben, verpflichtet, die erforderlichen und nicht bereits nach § 2c Absatz 4 vorzulegenden Auskünfte auf Verlangen des zuständigen Bundesministeriums zu erteilen. Die Übermittlung des Auskunftsverlangens nach diesem Absatz an die Auskunftsverpflichteten und der erteilten Auskünfte an das für die kerntechnische Sicherheit und den Strahlenschutz zuständige Bundesministerium erfolgt über die zuständigen Behörden der Länder.</w:t>
      </w:r>
    </w:p>
    <w:p>
      <w:r>
        <w:rPr>
          <w:color w:val="555555"/>
          <w:sz w:val="17"/>
        </w:rPr>
        <w:t xml:space="preserve">Zitiervorschlag: § 9i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