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9d AtG — Enteignung</w:t>
      </w:r>
    </w:p>
    <w:p>
      <w:r>
        <w:rPr>
          <w:color w:val="555555"/>
          <w:sz w:val="18"/>
        </w:rPr>
        <w:t xml:space="preserve">Atomgesetz</w:t>
      </w:r>
    </w:p>
    <w:p>
      <w:r>
        <w:rPr>
          <w:color w:val="555555"/>
          <w:sz w:val="18"/>
        </w:rPr>
        <w:t xml:space="preserve">Stand: 10.06.2019 (konsolidierte Textfassung, kein amtliches Inkrafttretensdatum)</w:t>
      </w:r>
    </w:p>
    <w:p>
      <w:r>
        <w:t xml:space="preserve">(1) Für Zwecke der Errichtung und des Betriebs von Anlagen zur Endlagerung radioaktiver Abfälle sowie für Zwecke der Vornahme wesentlicher Veränderungen solcher Anlagen oder ihres Betriebs ist die Enteignung zulässig, soweit sie zur Ausführung eines nach § 9b festgestellten oder genehmigten Plans notwendig ist.</w:t>
      </w:r>
    </w:p>
    <w:p>
      <w:r>
        <w:t xml:space="preserve">(2) Die Enteignung ist ferner zulässig für Zwecke der vorbereitenden Standorterkundung für Anlagen zur Endlagerung radioaktiver Abfälle, soweit sie zur Durchführung von Erkundungsmaßnahmen auf der Grundlage der Vorschriften des Bundesberggesetzes sowie zu deren Offenhaltung ab der Entscheidung über eine übertägige Erkundung nach § 15 Absatz 3 des Standortauswahlgesetzes notwendig ist. Die Enteignung ist insbesondere dann zur Durchführung von Erkundungsmaßnahmen notwendig, wenn die Eignung bestimmter geologischer Formationen als Endlagerstätte für radioaktive Abfälle ohne die Enteignung nicht oder nicht in dem erforderlichen Umfang untersucht werden könnte oder wenn die Untersuchung der Eignung ohne die Enteignung erheblich behindert, verzögert oder sonst erschwert würde. Die besonderen Vorschriften des Bundesberggesetzes über die Zulegung und die Grundabtretung sowie über sonstige Eingriffe in Rechte Dritter für bergbauliche Zwecke bleiben unberührt.</w:t>
      </w:r>
    </w:p>
    <w:p>
      <w:r>
        <w:rPr>
          <w:color w:val="555555"/>
          <w:sz w:val="17"/>
        </w:rPr>
        <w:t xml:space="preserve">Zitiervorschlag: § 9d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