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AtG — Verhältnis zum Bundes-Immissionsschutzgesetz und zum Gesetz über überwachungsbedürftige Anlagen</w:t>
      </w:r>
    </w:p>
    <w:p>
      <w:r>
        <w:rPr>
          <w:color w:val="555555"/>
          <w:sz w:val="18"/>
        </w:rPr>
        <w:t xml:space="preserve">Atomgesetz</w:t>
      </w:r>
    </w:p>
    <w:p>
      <w:r>
        <w:rPr>
          <w:color w:val="555555"/>
          <w:sz w:val="18"/>
        </w:rPr>
        <w:t xml:space="preserve">Stand: 05.08.2021 (konsolidierte Textfassung, kein amtliches Inkrafttretensdatum)</w:t>
      </w:r>
    </w:p>
    <w:p>
      <w:r>
        <w:t xml:space="preserve">(1) Die Vorschriften des Bundes-Immissionsschutzgesetzes über genehmigungsbedürftige Anlagen sowie über die Untersagung der ferneren Benutzung solcher Anlagen finden auf genehmigungspflichtige Anlagen im Sinne des § 7 keine Anwendung, soweit es sich um den Schutz vor den Gefahren der Kernenergie oder der schädlichen Wirkung ionisierender Strahlen handelt.</w:t>
      </w:r>
    </w:p>
    <w:p>
      <w:r>
        <w:t xml:space="preserve">(2) Bedarf eine nach § 4 des Bundes-Immissionsschutzgesetzes genehmigungsbedürftige Anlage einer Genehmigung nach § 7, so schließt diese Genehmigung die Genehmigung nach § 4 des Bundes-Immissionsschutzgesetzes ein. Die atomrechtliche Genehmigungsbehörde hat die Entscheidung im Einvernehmen mit der für den Immissionsschutz zuständigen Landesbehörde nach Maßgabe der Vorschriften des Bundes-Immissionsschutzgesetzes und der dazu erlassenen Rechtsverordnungen zu treffen.</w:t>
      </w:r>
    </w:p>
    <w:p>
      <w:r>
        <w:t xml:space="preserve">(3) Für überwachungsbedürftige Anlagen nach § 2 Nummer 1 des Gesetzes über überwachungsbedürftige Anlagen, die in genehmigungspflichtigen Anlagen im Sinne des § 7 Verwendung finden, kann die Genehmigungsbehörde im Einzelfall Ausnahmen von den geltenden Rechtsvorschriften über die Errichtung und den Betrieb überwachungsbedürftiger Anlagen zulassen, soweit dies durch die besondere technische Eigenart der Anlagen nach § 7 bedingt ist.</w:t>
      </w:r>
    </w:p>
    <w:p>
      <w:r>
        <w:rPr>
          <w:color w:val="555555"/>
          <w:sz w:val="17"/>
        </w:rPr>
        <w:t xml:space="preserve">Zitiervorschlag: § 8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