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7e AtG — Finanzieller Ausgleich</w:t>
      </w:r>
    </w:p>
    <w:p>
      <w:r>
        <w:rPr>
          <w:color w:val="555555"/>
          <w:sz w:val="18"/>
        </w:rPr>
        <w:t xml:space="preserve">Atomgesetz</w:t>
      </w:r>
    </w:p>
    <w:p>
      <w:r>
        <w:rPr>
          <w:color w:val="555555"/>
          <w:sz w:val="18"/>
        </w:rPr>
        <w:t xml:space="preserve">Stand: 31.10.2021 (konsolidierte Textfassung, kein amtliches Inkrafttretensdatum)</w:t>
      </w:r>
    </w:p>
    <w:p>
      <w:r>
        <w:t xml:space="preserve">(1) Als Ausgleich für Investitionen, die im berechtigten Vertrauen auf die durch das Elfte Gesetz zur Änderung des Atomgesetzes vom 8. Dezember 2010 (BGBl. I S. 1814) in Anlage 3 Spalte 4 zusätzlich zugewiesenen Elektrizitätsmengen vorgenommen, durch das Dreizehnte Gesetz zur Änderung des Atomgesetzes vom 31. Juli 2011 (BGBl. I S. 1704) jedoch entwertet wurden, hat</w:t>
      </w:r>
    </w:p>
    <w:p>
      <w:pPr>
        <w:ind w:left="420"/>
      </w:pPr>
      <w:r>
        <w:t xml:space="preserve">1. die EnBW Energie Baden-Württemberg AG einen Anspruch auf Zahlung von 80 Millionen Euro,</w:t>
      </w:r>
    </w:p>
    <w:p>
      <w:pPr>
        <w:ind w:left="420"/>
      </w:pPr>
      <w:r>
        <w:t xml:space="preserve">2. die PreussenElektra GmbH einen Anspruch auf Zahlung von 42,5 Millionen Euro,</w:t>
      </w:r>
    </w:p>
    <w:p>
      <w:pPr>
        <w:ind w:left="420"/>
      </w:pPr>
      <w:r>
        <w:t xml:space="preserve">3. die RWE Nuclear GmbH einen Anspruch auf Zahlung von 20 Millionen Euro.</w:t>
      </w:r>
    </w:p>
    <w:p>
      <w:r>
        <w:t xml:space="preserve">(2) Als Ausgleich für Elektrizitätsmengen aus den Elektrizitätsmengenkontingenten der Kernkraftwerke Brunsbüttel, Krümmel und Mülheim-Kärlich gemäß Anlage 3 Spalte 2, die auf Grund des Dreizehnten Gesetzes zur Änderung des Atomgesetzes vom 31. Juli 2011 (BGBl. I S. 1704) in konzerneigenen Kernkraftwerken nicht verwertet werden können, hat</w:t>
      </w:r>
    </w:p>
    <w:p>
      <w:pPr>
        <w:ind w:left="420"/>
      </w:pPr>
      <w:r>
        <w:t xml:space="preserve">1. die RWE Nuclear GmbH einen Anspruch auf Zahlung von 860,398 Millionen Euro für Elektrizitätsmengen von 25 900,00 Gigawattstunden des Kernkraftwerks Mülheim-Kärlich,</w:t>
      </w:r>
    </w:p>
    <w:p>
      <w:pPr>
        <w:ind w:left="420"/>
      </w:pPr>
      <w:r>
        <w:t xml:space="preserve">2. die Vattenfall Europe Nuclear Energy GmbH einen Anspruch auf Zahlung von</w:t>
      </w:r>
    </w:p>
    <w:p>
      <w:pPr>
        <w:ind w:left="780"/>
      </w:pPr>
      <w:r>
        <w:t xml:space="preserve">a) 243,606 025 Millionen Euro für Elektrizitätsmengen von 7 333,113 Gigawattstunden des Kernkraftwerks Brunsbüttel und</w:t>
      </w:r>
    </w:p>
    <w:p>
      <w:pPr>
        <w:ind w:left="780"/>
      </w:pPr>
      <w:r>
        <w:t xml:space="preserve">b) 1,181 809 277 Milliarden Euro für Elektrizitätsmengen von 41 022,555 Gigawattstunden des Kernkraftwerks Krümmel.</w:t>
      </w:r>
    </w:p>
    <w:p>
      <w:r>
        <w:t xml:space="preserve">(3) Der Bund fordert einen Ausgleich, der auf Grund der Absätze 1 und 2 geleistet worden ist, zurück, soweit die Europäische Kommission durch bestandskräftigen Beschluss gemäß Artikel 9 Absatz 5 oder Artikel 13 der Verordnung (EU) 2015/1589 des Rates vom 13. Juli 2015 über besondere Vorschriften für die Anwendung von Artikel 108 des Vertrags über die Arbeitsweise der Europäischen Union (ABl. L 248 vom 24.9.2015, S. 9) oder ein Unionsgericht rechtskräftig festgestellt hat, dass der Ausgleich eine mit dem Binnenmarkt unvereinbare Beihilfe ist.Der zurückzuzahlende Betrag ist ab dem Zeitpunkt, zu dem der Anspruchsinhaber ihn empfangen hat, in Höhe des von der Europäischen Kommission festgelegten Zinssatzes auf Grund der Verordnung (EG) Nr. 794/2004 der Kommission vom 21. April 2004 zur Durchführung der Verordnung (EG) Nr. 659/1999 des Rates über besondere Vorschriften für die Anwendung von Artikel 93 des EG-Vertrags (ABl. L 140 vom 30.4.2004, S. 1; L 25 vom 28.1.2005, S. 74; L 131 vom 25.5.2005, S. 45), die zuletzt durch die Verordnung (EU) 2016/2105 (ABl. L 327 vom 2.12.2016, S. 19) geändert worden ist, zu verzinsen.</w:t>
      </w:r>
    </w:p>
    <w:p>
      <w:r>
        <w:rPr>
          <w:color w:val="555555"/>
          <w:sz w:val="17"/>
        </w:rPr>
        <w:t xml:space="preserve">Zitiervorschlag: § 7e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