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AtG — Pflichten des Genehmigungsinhabers</w:t>
      </w:r>
    </w:p>
    <w:p>
      <w:r>
        <w:rPr>
          <w:color w:val="555555"/>
          <w:sz w:val="18"/>
        </w:rPr>
        <w:t xml:space="preserve">Atomgesetz</w:t>
      </w:r>
    </w:p>
    <w:p>
      <w:r>
        <w:rPr>
          <w:color w:val="555555"/>
          <w:sz w:val="18"/>
        </w:rPr>
        <w:t xml:space="preserve">Stand: 10.06.2019 (konsolidierte Textfassung, kein amtliches Inkrafttretensdatum)</w:t>
      </w:r>
    </w:p>
    <w:p>
      <w:r>
        <w:t xml:space="preserve">(1) Die Verantwortung für die nukleare Sicherheit obliegt dem Inhaber der Genehmigung für die kerntechnische Anlage. Diese Verantwortung kann nicht delegiert werden und erstreckt sich auch auf die Tätigkeiten der Auftragnehmer und Unterauftragnehmer, deren Tätigkeiten die nukleare Sicherheit einer kerntechnischen Anlage beeinträchtigen könnten.</w:t>
      </w:r>
    </w:p>
    <w:p>
      <w:r>
        <w:t xml:space="preserve">(2) Der Genehmigungsinhaber nach Absatz 1 ist verpflichtet,</w:t>
      </w:r>
    </w:p>
    <w:p>
      <w:pPr>
        <w:ind w:left="420"/>
      </w:pPr>
      <w:r>
        <w:t xml:space="preserve">1. ein Managementsystem einzurichten und anzuwenden, das der nuklearen Sicherheit gebührenden Vorrang einräumt,</w:t>
      </w:r>
    </w:p>
    <w:p>
      <w:pPr>
        <w:ind w:left="420"/>
      </w:pPr>
      <w:r>
        <w:t xml:space="preserve">2. dauerhaft angemessene finanzielle und personelle Mittel zur Erfüllung seiner Pflichten in Bezug auf die nukleare Sicherheit der jeweiligen kerntechnischen Anlage vorzusehen und bereitzuhalten und sicherzustellen, dass seine Auftragnehmer und Unterauftragnehmer, deren Tätigkeiten die nukleare Sicherheit einer kerntechnischen Anlage beinträchtigen könnten, personelle Mittel mit angemessenen Kenntnissen und Fähigkeiten zur Erfüllung ihrer Pflichten in Bezug auf die nukleare Sicherheit der jeweiligen kerntechnischen Anlage vorsehen und einsetzen,</w:t>
      </w:r>
    </w:p>
    <w:p>
      <w:pPr>
        <w:ind w:left="420"/>
      </w:pPr>
      <w:r>
        <w:t xml:space="preserve">3. für die Aus- und Fortbildung seines Personals zu sorgen, das mit Aufgaben im Bereich der nuklearen Sicherheit kerntechnischer Anlagen betraut ist, um dessen Kenntnisse und Fähigkeiten auf dem Gebiet der nuklearen Sicherheit aufrechtzuerhalten und auszubauen,</w:t>
      </w:r>
    </w:p>
    <w:p>
      <w:pPr>
        <w:ind w:left="420"/>
      </w:pPr>
      <w:r>
        <w:t xml:space="preserve">4. im Rahmen seiner Kommunikationspolitik und unter Wahrung seiner Rechte und Pflichten die Öffentlichkeit über den bestimmungsgemäßen Betrieb der kerntechnischen Anlage, über meldepflichtige Ereignisse und Unfälle zu informieren und dabei die lokale Bevölkerung und die Interessenträger in der Umgebung der kerntechnischen Anlage besonders zu berücksichtigen.</w:t>
      </w:r>
    </w:p>
    <w:p>
      <w:r>
        <w:t xml:space="preserve">(3) Der Genehmigungsinhaber ist verpflichtet, angemessene Verfahren und Vorkehrungen für den anlageninternen Notfallschutz vorzusehen. Dabei hat der Genehmigungsinhaber präventive und mitigative Maßnahmen des anlageninternen Notfallschutzes vorzusehen,</w:t>
      </w:r>
    </w:p>
    <w:p>
      <w:pPr>
        <w:ind w:left="420"/>
      </w:pPr>
      <w:r>
        <w:t xml:space="preserve">1. die weder den bestimmungsgemäßen Betrieb noch den auslegungsgemäßen Einsatz von Sicherheits- und Notstandseinrichtungen beeinträchtigen und deren Verträglichkeit mit dem Sicherheitskonzept gewährleistet ist,</w:t>
      </w:r>
    </w:p>
    <w:p>
      <w:pPr>
        <w:ind w:left="420"/>
      </w:pPr>
      <w:r>
        <w:t xml:space="preserve">2. die bei Unfällen anwendbar sind, die gleichzeitig mehrere Blöcke betreffen oder beeinträchtigen,</w:t>
      </w:r>
    </w:p>
    <w:p>
      <w:pPr>
        <w:ind w:left="420"/>
      </w:pPr>
      <w:r>
        <w:t xml:space="preserve">3. deren Funktionsfähigkeit durch Wartung und wiederkehrende Prüfungen der vorgesehenen Einrichtungen sicherzustellen ist,</w:t>
      </w:r>
    </w:p>
    <w:p>
      <w:pPr>
        <w:ind w:left="420"/>
      </w:pPr>
      <w:r>
        <w:t xml:space="preserve">4. die regelmäßig in Übungen angewandt und geprüft werden und</w:t>
      </w:r>
    </w:p>
    <w:p>
      <w:pPr>
        <w:ind w:left="420"/>
      </w:pPr>
      <w:r>
        <w:t xml:space="preserve">5. die unter Berücksichtigung der aus Übungen und aus Unfällen gewonnenen Erkenntnisse regelmäßig überprüft und aktualisiert werden.</w:t>
      </w:r>
    </w:p>
    <w:p>
      <w:r>
        <w:t xml:space="preserve">Die organisatorischen Vorkehrungen des anlageninternen Notfallschutzes müssen die eindeutige Zuweisung von Zuständigkeiten, die Koordinierung mit den zuständigen Behörden sowie Vorkehrungen zur Annahme externer Unterstützung beinhalten. Bei den Verfahren und Vorkehrungen für den anlageninternen Notfallschutz hat der Genehmigungsinhaber Planungen und Maßnahmen des anlagenexternen Notfallschutzes zu berücksichtigen.</w:t>
      </w:r>
    </w:p>
    <w:p>
      <w:r>
        <w:rPr>
          <w:color w:val="555555"/>
          <w:sz w:val="17"/>
        </w:rPr>
        <w:t xml:space="preserve">Zitiervorschlag: § 7c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