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AtG — Vorbescheid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Antrag kann zu einzelnen Fragen, von denen die Erteilung der Genehmigung einer Anlage nach § 7 abhängt, insbesondere zur Wahl des Standorts einer Anlage, ein Vorbescheid erlassen werden. Der Vorbescheid wird unwirksam, wenn der Antragsteller nicht innerhalb von zwei Jahren nach Eintritt der Unanfechtbarkeit die Genehmigung beantragt; die Frist kann auf Antrag bis zu zwei Jahren verlängert werden.</w:t>
      </w:r>
    </w:p>
    <w:p>
      <w:r>
        <w:t xml:space="preserve">(2) § 7 Abs. 4 und 5 sowie die §§ 17 und 18 gelten entsprechend.</w:t>
      </w:r>
    </w:p>
    <w:p>
      <w:r>
        <w:rPr>
          <w:color w:val="555555"/>
          <w:sz w:val="17"/>
        </w:rPr>
        <w:t xml:space="preserve">Zitiervorschlag: § 7a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