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AtG — Genehmigung von Anlagen</w:t>
      </w:r>
    </w:p>
    <w:p>
      <w:r>
        <w:rPr>
          <w:color w:val="555555"/>
          <w:sz w:val="18"/>
        </w:rPr>
        <w:t xml:space="preserve">Atomgesetz</w:t>
      </w:r>
    </w:p>
    <w:p>
      <w:r>
        <w:rPr>
          <w:color w:val="555555"/>
          <w:sz w:val="18"/>
        </w:rPr>
        <w:t xml:space="preserve">Stand: 09.12.2022 (konsolidierte Textfassung, kein amtliches Inkrafttretensdatum)</w:t>
      </w:r>
    </w:p>
    <w:p>
      <w:r>
        <w:t xml:space="preserve">(1) Wer eine ortsfeste Anlage zur Erzeugung oder zur Bearbeitung oder Verarbeitung oder zur Spaltung von Kernbrennstoffen oder zur Aufarbeitung bestrahlter Kernbrennstoffe errichtet, betreibt oder sonst innehat oder die Anlage oder ihren Betrieb wesentlich verändert, bedarf der Genehmigung. Für die Errichtung und den Betrieb von Anlagen zur Spaltung von Kernbrennstoffen zur gewerblichen Erzeugung von Elektrizität und von Anlagen zur Aufarbeitung bestrahlter Kernbrennstoffe werden keine Genehmigungen erteilt. Dies gilt nicht für wesentliche Veränderungen von Anlagen oder ihres Betriebs.</w:t>
      </w:r>
    </w:p>
    <w:p>
      <w:r>
        <w:t xml:space="preserve">(1a) Die Berechtigung zum Leistungsbetrieb einer Anlage zur Spaltung von Kernbrennstoffen zur gewerblichen Erzeugung von Elektrizität erlischt, wenn die in Anlage 3 Spalte 2 für die Anlage aufgeführte Elektrizitätsmenge oder die sich auf Grund von Übertragungen nach Absatz 1b ergebende Elektrizitätsmenge erzeugt ist, jedoch spätestens</w:t>
      </w:r>
    </w:p>
    <w:p>
      <w:pPr>
        <w:ind w:left="420"/>
      </w:pPr>
      <w:r>
        <w:t xml:space="preserve">1. mit Ablauf des 6. August 2011 für die Kernkraftwerke Biblis A, Neckarwestheim 1, Biblis B, Brunsbüttel, Isar 1, Unterweser, Philippsburg 1 und Krümmel,</w:t>
      </w:r>
    </w:p>
    <w:p>
      <w:pPr>
        <w:ind w:left="420"/>
      </w:pPr>
      <w:r>
        <w:t xml:space="preserve">2. mit Ablauf des 31. Dezember 2015 für das Kernkraftwerk Grafenrheinfeld,</w:t>
      </w:r>
    </w:p>
    <w:p>
      <w:pPr>
        <w:ind w:left="420"/>
      </w:pPr>
      <w:r>
        <w:t xml:space="preserve">3. mit Ablauf des 31. Dezember 2017 für das Kernkraftwerk Gundremmingen B,</w:t>
      </w:r>
    </w:p>
    <w:p>
      <w:pPr>
        <w:ind w:left="420"/>
      </w:pPr>
      <w:r>
        <w:t xml:space="preserve">4. mit Ablauf des 31. Dezember 2019 für das Kernkraftwerk Philippsburg 2,</w:t>
      </w:r>
    </w:p>
    <w:p>
      <w:pPr>
        <w:ind w:left="420"/>
      </w:pPr>
      <w:r>
        <w:t xml:space="preserve">5. mit Ablauf des 31. Dezember 2021 für die Kernkraftwerke Grohnde, Gundremmingen C und Brokdorf,</w:t>
      </w:r>
    </w:p>
    <w:p>
      <w:pPr>
        <w:ind w:left="420"/>
      </w:pPr>
      <w:r>
        <w:t xml:space="preserve">6. mit Ablauf des 31. Dezember 2022 für die Kernkraftwerke Isar 2, Emsland und Neckarwestheim 2.</w:t>
      </w:r>
    </w:p>
    <w:p>
      <w:r>
        <w:t xml:space="preserve">Die Erzeugung der in Anlage 3 Spalte 2 aufgeführten Elektrizitätsmengen ist durch ein Messgerät zu messen. Das Messgerät nach Satz 2 muss den Vorschriften des Mess- und Eichgesetzes und den auf Grund des Mess- und Eichgesetzes erlassenen Rechtsverordnungen entsprechen. Ein Messgerät nach Satz 2 darf erst in Betrieb genommen werden, nachdem eine Behörde nach § 54 Absatz 1 des Mess- und Eichgesetzes dessen Eignung und ordnungsgemäßes Verwenden festgestellt hat. Wer ein Messgerät nach Satz 2 verwendet, muss das Messgerät unverzüglich so aufstellen und anschließen sowie so handhaben und warten, dass die Richtigkeit der Messung und die zuverlässige Ablesung der Anzeige gewährleistet sind. Die Vorschriften des Mess- und Eichgesetzes und der auf Grund dieses Gesetzes erlassenen Rechtsverordnung finden Anwendung. Der Genehmigungsinhaber hat den bestimmungsgemäßen Zustand des Messgerätes in jedem Kalenderjahr durch eine Sachverständigenorganisation und die in jedem Kalenderjahr erzeugte Elektrizitätsmenge binnen eines Monats durch einen Wirtschaftsprüfer oder eine Wirtschaftsprüfungsgesellschaft überprüfen und bescheinigen zu lassen.</w:t>
      </w:r>
    </w:p>
    <w:p>
      <w:r>
        <w:t xml:space="preserve">(1b) Elektrizitätsmengen nach Anlage 3 Spalte 2 können ganz oder teilweise von einer Anlage auf eine andere Anlage übertragen werden, wenn die empfangende Anlage den kommerziellen Leistungsbetrieb später als die abgebende Anlage begonnen hat. Elektrizitätsmengen können abweichend von Satz 1 auch von einer Anlage übertragen werden, die den kommerziellen Leistungsbetrieb später begonnen hat, wenn das Bundesministerium für Umwelt, Naturschutz und nukleare Sicherheit im Einvernehmen mit dem Bundeskanzleramt und dem Bundesministerium für Wirtschaft und Energie der Übertragung zugestimmt hat. Die Zustimmung nach Satz 2 ist nicht erforderlich, wenn die abgebende Anlage den Leistungsbetrieb dauerhaft einstellt und ein Antrag nach Absatz 3 Satz 1 zur Stilllegung der Anlage gestellt worden ist. Elektrizitätsmengen nach Anlage 3 Spalte 2 können vorbehaltlich des Satzes 5 von Anlagen nach Absatz 1a Satz 1 Nummer 1 bis 6 auch nach Erlöschen der Berechtigung zum Leistungsbetrieb nach den Sätzen 1 bis 3 übertragen werden. Aus den Elektrizitätsmengenkontingenten der Kernkraftwerke Brunsbüttel und Krümmel gemäß Anlage 3 Spalte 2 sind von einer Übertragung nach den Sätzen 1 bis 4 ausgenommen</w:t>
      </w:r>
    </w:p>
    <w:p>
      <w:pPr>
        <w:ind w:left="420"/>
      </w:pPr>
      <w:r>
        <w:t xml:space="preserve">1. für das Kernkraftwerk Brunsbüttel Elektrizitätsmengen von 7 333,113 Gigawattstunden und</w:t>
      </w:r>
    </w:p>
    <w:p>
      <w:pPr>
        <w:ind w:left="420"/>
      </w:pPr>
      <w:r>
        <w:t xml:space="preserve">2. für das Kernkraftwerk Krümmel Elektrizitätsmengen von 26 022,555 Gigawattstunden.</w:t>
      </w:r>
    </w:p>
    <w:p>
      <w:r>
        <w:t xml:space="preserve">(1c) Der Genehmigungsinhaber hat der zuständigen Behörde</w:t>
      </w:r>
    </w:p>
    <w:p>
      <w:pPr>
        <w:ind w:left="420"/>
      </w:pPr>
      <w:r>
        <w:t xml:space="preserve">1. monatlich die im Sinne des Absatzes 1a in Verbindung mit der Anlage 3 Spalte 2 im Vormonat erzeugten Elektrizitätsmengen mitzuteilen,</w:t>
      </w:r>
    </w:p>
    <w:p>
      <w:pPr>
        <w:ind w:left="420"/>
      </w:pPr>
      <w:r>
        <w:t xml:space="preserve">2. die Ergebnisse der Überprüfungen und die Bescheinigungen nach Absatz 1a Satz 7 binnen eines Monats nach deren Vorliegen vorzulegen,</w:t>
      </w:r>
    </w:p>
    <w:p>
      <w:pPr>
        <w:ind w:left="420"/>
      </w:pPr>
      <w:r>
        <w:t xml:space="preserve">3. die zwischen Anlagen vorgenommenen Übertragungen nach Absatz 1b binnen einer Woche nach Festlegung der Übertragung mitzuteilen.</w:t>
      </w:r>
    </w:p>
    <w:p>
      <w:r>
        <w:t xml:space="preserve">Der Genehmigungsinhaber hat in der ersten monatlichen Mitteilung über die erzeugte Elektrizitätsmenge nach Satz 1 Nr. 1 eine Mitteilung über die seit dem 1. Januar 2000 bis zum letzten Tag des April 2002 erzeugte Elektrizitätsmenge zu übermitteln, die von einem Wirtschaftsprüfer oder einer Wirtschaftsprüfungsgesellschaft überprüft und bescheinigt worden ist. Der Zeitraum der ersten monatlichen Mitteilung beginnt ab dem 1. Mai 2002. Die übermittelten Informationen nach Satz 1 Nummer 1 bis 3 sowie die Angabe der jeweils noch verbleibenden Elektrizitätsmenge werden durch die zuständige Behörde im Bundesanzeiger bekannt gemacht; hierbei werden die erzeugten Elektrizitätsmengen im Sinne des Satzes 1 Nummer 1 jährlich zusammengerechnet für ein Kalenderjahr im Bundesanzeiger bekannt gemacht, jedoch bei einer voraussichtlichen Restlaufzeit von weniger als sechs Monaten monatlich.</w:t>
      </w:r>
    </w:p>
    <w:p>
      <w:r>
        <w:t xml:space="preserve">(1d) Für das Kernkraftwerk Mülheim-Kärlich gelten Absatz 1a Satz 1, Absatz 1b Satz 1 bis 3 und Absatz 1c Satz 1 Nr. 3 mit der Maßgabe, dass vorbehaltlich des Satzes 2 die in Anlage 3 Spalte 2 aufgeführte Elektrizitätsmenge nur nach Übertragung auf die dort aufgeführten Kernkraftwerke in diesen produziert werden darf. Aus dem Elektrizitätsmengenkontingent des Kernkraftwerks Mülheim-Kärlich gemäß Anlage 3 Spalte 2 sind von einer Übertragung nach Absatz 1b Satz 1 bis 3 ausgenommen Elektrizitätsmengen von 25 900,00 Gigawattstunden.</w:t>
      </w:r>
    </w:p>
    <w:p>
      <w:r>
        <w:t xml:space="preserve">(1e) Abweichend von Absatz 1a Satz 1 erlöschen die Berechtigungen zum Leistungsbetrieb für die Kernkraftwerke Isar 2, Emsland und Neckarwestheim 2 mit Ablauf des 15. April 2023. Dies gilt unabhängig davon, ob die in Anlage 3 Spalte 2 für die Kernkraftwerke Isar 2, Emsland und Neckarwestheim 2 jeweils aufgeführte Elektrizitätsmenge oder die sich auf Grund von Übertragungen nach Absatz 1b für diese Anlagen ergebende Elektrizitätsmenge erzeugt worden ist. Für den weiteren Leistungsbetrieb nach Satz 1 sind nur die in der jeweiligen Anlage noch vorhandenen Brennelemente zu nutzen. Auf die in Satz 1 genannten Kernkraftwerke ist § 19a Absatz 1 nicht anzuwenden. Im Übrigen bleiben die Vorschriften dieses Gesetzes, insbesondere die Befugnisse der zuständigen atomrechtlichen Genehmigungs- und Aufsichtsbehörden nach den §§ 17 und 19 unberührt.</w:t>
      </w:r>
    </w:p>
    <w:p>
      <w:r>
        <w:t xml:space="preserve">(2) Die Genehmigung darf nur erteilt werden, wenn</w:t>
      </w:r>
    </w:p>
    <w:p>
      <w:pPr>
        <w:ind w:left="420"/>
      </w:pPr>
      <w:r>
        <w:t xml:space="preserve">1. keine Tatsachen vorliegen, aus denen sich Bedenken gegen die Zuverlässigkeit des Antragstellers und der für die Errichtung, Leitung und Beaufsichtigung des Betriebs der Anlage verantwortlichen Personen ergeben, und die für die Errichtung, Leitung und Beaufsichtigung des Betriebs der Anlage verantwortlichen Personen die hierfür erforderliche Fachkunde besitzen,</w:t>
      </w:r>
    </w:p>
    <w:p>
      <w:pPr>
        <w:ind w:left="420"/>
      </w:pPr>
      <w:r>
        <w:t xml:space="preserve">2. gewährleistet ist, daß die bei dem Betrieb der Anlage sonst tätigen Personen die notwendigen Kenntnisse über einen sicheren Betrieb der Anlage, die möglichen Gefahren und die anzuwendenden Schutzmaßnahmen besitzen,</w:t>
      </w:r>
    </w:p>
    <w:p>
      <w:pPr>
        <w:ind w:left="420"/>
      </w:pPr>
      <w:r>
        <w:t xml:space="preserve">3. die nach dem Stand von Wissenschaft und Technik erforderliche Vorsorge gegen Schäden durch die Errichtung und den Betrieb der Anlage getroffen ist,</w:t>
      </w:r>
    </w:p>
    <w:p>
      <w:pPr>
        <w:ind w:left="420"/>
      </w:pPr>
      <w:r>
        <w:t xml:space="preserve">4. die erforderliche Vorsorge für die Erfüllung gesetzlicher Schadensersatzverpflichtungen getroffen ist,</w:t>
      </w:r>
    </w:p>
    <w:p>
      <w:pPr>
        <w:ind w:left="420"/>
      </w:pPr>
      <w:r>
        <w:t xml:space="preserve">5. der erforderliche Schutz gegen Störmaßnahmen oder sonstige Einwirkungen Dritter gewährleistet ist,</w:t>
      </w:r>
    </w:p>
    <w:p>
      <w:pPr>
        <w:ind w:left="420"/>
      </w:pPr>
      <w:r>
        <w:t xml:space="preserve">6. überwiegende öffentliche Interessen, insbesondere im Hinblick auf die Umweltauswirkungen, der Wahl des Standorts der Anlage nicht entgegenstehen.</w:t>
      </w:r>
    </w:p>
    <w:p>
      <w:r>
        <w:t xml:space="preserve">(2a) (weggefallen)</w:t>
      </w:r>
    </w:p>
    <w:p>
      <w:r>
        <w:t xml:space="preserve">(3) Die Stillegung einer Anlage nach Absatz 1 Satz 1 sowie der sichere Einschluß der endgültig stillgelegten Anlage oder der Abbau der Anlage oder von Anlagenteilen bedürfen der Genehmigung. Absatz 2 gilt sinngemäß. Eine Genehmigung nach Satz 1 ist nicht erforderlich, soweit die geplanten Maßnahmen bereits Gegenstand einer Genehmigung nach Absatz 1 Satz 1 oder Anordnung nach § 19 Abs. 3 gewesen sind. Anlagen nach Absatz 1 Satz 1, deren Berechtigung zum Leistungsbetrieb nach Absatz 1a erloschen ist oder deren Leistungsbetrieb endgültig beendet ist und deren Betreiber Einzahlende nach § 2 Absatz 1 Satz 1 des Entsorgungsfondsgesetzes sind, sind unverzüglich stillzulegen und abzubauen. Die zuständige Behörde kann im Einzelfall für Anlagenteile vorübergehende Ausnahmen von Satz 4 zulassen, soweit und solange dies aus Gründen des Strahlenschutzes erforderlich ist.</w:t>
      </w:r>
    </w:p>
    <w:p>
      <w:r>
        <w:t xml:space="preserve">(4) Im Genehmigungsverfahren sind alle Behörden des Bundes, der Länder, der Gemeinden und der sonstigen Gebietskörperschaften zu beteiligen, deren Zuständigkeitsbereich berührt wird. Bestehen zwischen der Genehmigungsbehörde und einer beteiligten Bundesbehörde Meinungsverschiedenheiten, so hat die Genehmigungsbehörde die Weisung des für die kerntechnische Sicherheit und den Strahlenschutz zuständigen Bundesministeriums einzuholen. Im übrigen wird das Genehmigungsverfahren nach den Grundsätzen der §§ 8, 10 Abs. 1 bis 4, 6 bis 8, 10 Satz 2 und des § 18 des Bundes-Immissionsschutzgesetzes durch Rechtsverordnung geregelt; dabei kann vorgesehen werden, dass bei der Prüfung der Umweltverträglichkeit der insgesamt zur Stilllegung, zum sicheren Einschluss oder zum Abbau von Anlagen zur Spaltung von Kernbrennstoffen oder von Anlagenteilen geplanten Maßnahmen von einem Erörterungstermin abgesehen werden kann.</w:t>
      </w:r>
    </w:p>
    <w:p>
      <w:r>
        <w:t xml:space="preserve">(5) Für ortsveränderliche Anlagen gelten die Absätze 1, 2 und 4 entsprechend. Jedoch kann die in Absatz 4 Satz 3 genannte Rechtsverordnung vorsehen, daß von einer Bekanntmachung des Vorhabens und einer Auslegung der Unterlagen abgesehen werden kann und daß insoweit eine Erörterung von Einwendungen unterbleibt.</w:t>
      </w:r>
    </w:p>
    <w:p>
      <w:r>
        <w:t xml:space="preserve">(6) § 14 des Bundes-Immissionsschutzgesetzes gilt sinngemäß für Einwirkungen, die von einer genehmigten Anlage auf ein anderes Grundstück ausgehen.</w:t>
      </w:r>
    </w:p>
    <w:p>
      <w:r>
        <w:rPr>
          <w:color w:val="555555"/>
          <w:sz w:val="17"/>
        </w:rPr>
        <w:t xml:space="preserve">Zitiervorschlag: § 7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