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AtG — Übergangsvorschriften</w:t>
      </w:r>
    </w:p>
    <w:p>
      <w:r>
        <w:rPr>
          <w:color w:val="555555"/>
          <w:sz w:val="18"/>
        </w:rPr>
        <w:t xml:space="preserve">Atomgesetz</w:t>
      </w:r>
    </w:p>
    <w:p>
      <w:r>
        <w:rPr>
          <w:color w:val="555555"/>
          <w:sz w:val="18"/>
        </w:rPr>
        <w:t xml:space="preserve">Stand: 10.06.2019 (konsolidierte Textfassung, kein amtliches Inkrafttretensdatum)</w:t>
      </w:r>
    </w:p>
    <w:p>
      <w:r>
        <w:t xml:space="preserve">(1) § 21 Abs. 1a ist auch auf die am 11. Mai 2000 anhängigen Verwaltungsverfahren anzuwenden, soweit zu diesem Zeitpunkt die Kosten nicht bereits festgesetzt sind.</w:t>
      </w:r>
    </w:p>
    <w:p>
      <w:r>
        <w:t xml:space="preserve">(2) § 23d Satz 1 gilt mit Ausnahme von Nummer 2 nicht für das Endlager Schacht Konrad bis zur Erteilung der Zustimmung zur Inbetriebnahme durch die atomrechtliche Aufsicht; § 24 Absatz 2 in der bis zum Inkrafttreten dieses Gesetzes geltenden Fassung gilt mit Ausnahme von Nummer 2 bis zur Erteilung der Zustimmung zur Inbetriebnahme durch die atomrechtliche Aufsicht.</w:t>
      </w:r>
    </w:p>
    <w:p>
      <w:r>
        <w:t xml:space="preserve">(3) § 24 Absatz 2 in der bis zum 26. Juli 2013 geltenden Fassung ist auf das zu diesem Zeitpunkt anhängige Verwaltungsverfahren zur Stilllegung des Endlagers für radioaktive Abfälle Morsleben bis zur Vollziehbarkeit des Planfeststellungsbeschlusses und auf bis zu diesem Zeitpunkt erforderliche Verwaltungsverfahren zur Änderung der Dauerbetriebsgenehmigung vom 22. April 1986 weiter anzuwenden; § 23d Satz 1 findet mit Ausnahme von Nummer 2 keine Anwendung.</w:t>
      </w:r>
    </w:p>
    <w:p>
      <w:r>
        <w:t xml:space="preserve">(4) Bei Übertragung der Aufgabenwahrnehmung durch den Bund auf einen Dritten nach § 9a Absatz 3 Satz 2 zweiter Halbsatz gelten die in Bezug auf den bisherigen Betreiber erteilten Genehmigungen, Erlaubnisse und Zulassungen in Bezug auf die bestehenden Anlagen nach § 9a Absatz 3 Satz 1 auch für und gegen den Dritten; die zuständige Behörde hat in angemessener Zeit zu prüfen, ob der Dritte durch organisatorische Maßnahmen und durch die Bereitstellung von sachlichen und persönlichen Mitteln die Fortführung der Errichtung, des Betriebs und der Stilllegung der Anlage gewährleistet.</w:t>
      </w:r>
    </w:p>
    <w:p>
      <w:r>
        <w:t xml:space="preserve">(5) § 9a Absatz 3 Satz 4 wird für das Endlager für radioaktive Abfälle Morsleben, das Endlager Schacht Konrad und die Schachtanlage Asse II erst ab dem 1. Januar 2018 angewendet. Gleiches gilt für das nach § 36 Absatz 2 des Standortauswahlgesetzes offenzuhaltende Bergwerk.</w:t>
      </w:r>
    </w:p>
    <w:p>
      <w:r>
        <w:rPr>
          <w:color w:val="555555"/>
          <w:sz w:val="17"/>
        </w:rPr>
        <w:t xml:space="preserve">Zitiervorschlag: § 58 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https://recht.nulegal.eu/gesetze/AtG/58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