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57b AtG — Betrieb und Stilllegung der Schachtanlage Asse II</w:t>
      </w:r>
    </w:p>
    <w:p>
      <w:r>
        <w:rPr>
          <w:color w:val="555555"/>
          <w:sz w:val="18"/>
        </w:rPr>
        <w:t xml:space="preserve">Atomgesetz</w:t>
      </w:r>
    </w:p>
    <w:p>
      <w:r>
        <w:rPr>
          <w:color w:val="555555"/>
          <w:sz w:val="18"/>
        </w:rPr>
        <w:t xml:space="preserve">Stand: 10.01.2020 (konsolidierte Textfassung, kein amtliches Inkrafttretensdatum)</w:t>
      </w:r>
    </w:p>
    <w:p>
      <w:r>
        <w:t xml:space="preserve">(1) Für den Betrieb und die Stilllegung der Schachtanlage Asse II gelten die für die Anlagen des Bundes nach § 9a Absatz 3 geltenden Vorschriften nach Maßgabe der Absätze 2 bis 7.</w:t>
      </w:r>
    </w:p>
    <w:p>
      <w:r>
        <w:t xml:space="preserve">(2) Die Schachtanlage ist unverzüglich stillzulegen. Für den Weiterbetrieb, einschließlich einer Rückholung radioaktiver Abfälle und hiermit im Zusammenhang stehender Maßnahmen, bis zur Stilllegung bedarf es keiner Planfeststellung nach § 9b. Die Stilllegung soll nach Rückholung der radioaktiven Abfälle erfolgen. Die Rückholung ist abzubrechen, wenn deren Durchführung für die Bevölkerung und die Beschäftigten aus radiologischen oder sonstigen sicherheitsrelevanten Gründen nicht vertretbar ist. Dies ist insbesondere der Fall, wenn die Dosisbegrenzung nach § 5 der Strahlenschutzverordnung vom 20. Juli 2001 (BGBl. I S. 1714; 2002 I S. 1459), die zuletzt durch Artikel 5 Absatz 7 des Gesetzes vom 24. Februar 2012 (BGBl. I S. 212) geändert worden ist, nicht eingehalten oder die bergtechnische Sicherheit nicht mehr gewährleistet werden kann. Sind die Rückholung sowie alle Optionen zur Stilllegung nur unter Abweichung von gesetzlichen Anforderungen möglich, ist die Schachtanlage Asse II mit der nach einer Abwägung der Vor- und Nachteile bestmöglichen Option stillzulegen. Vor einer Entscheidung nach Satz 4 oder Satz 6 ist der Deutsche Bundestag von dem für die kerntechnische Sicherheit und den Strahlenschutz zuständigen Bundesministerium zu unterrichten sowie von dem Bundesamt für die Sicherheit der nuklearen Entsorgung der Öffentlichkeit Gelegenheit zur Stellungnahme zu geben, sofern kein sofortiges Handeln erforderlich ist. Die Dosisgrenzwerte der Strahlenschutzverordnung vom 20. Juli 2001 (BGBl. I S. 1714; 2002 I S. 1459), die zuletzt durch Artikel 5 Absatz 7 des Gesetzes vom 24. Februar 2012 (BGBl. I S. 212) geändert worden ist, für die Bevölkerung und für die beruflich strahlenexponierten Personen dürfen unbeschadet der Regelung in Satz 6 nicht überschritten werden.</w:t>
      </w:r>
    </w:p>
    <w:p>
      <w:r>
        <w:t xml:space="preserve">(3) Bis zur Bestandskraft eines Planfeststellungsbeschlusses zur Stilllegung bedarf der Umgang mit radioaktiven Stoffen einer Genehmigung nach den Vorschriften dieses Gesetzes oder des Strahlenschutzgesetzes; § 19 Absatz 1 bis 4 in Verbindung mit § 24 findet insoweit keine Anwendung. Die Genehmigungsbehörde kann in einem Genehmigungsverfahren für die Rückholung radioaktiver Abfälle und für damit zusammenhängende Maßnahmen auf Antrag zulassen, dass mit zulassungsbedürftigen Vorbereitungsmaßnahmen bereits vor Erteilung der Genehmigung begonnen wird, wenn mit einer Entscheidung zugunsten des Antragstellers gerechnet werden kann und ein berechtigtes Interesse des Antragstellers an dem vorzeitigen Beginn besteht; die vorläufige Zulassung kann jederzeit widerrufen, beschränkt oder mit Auflagen versehen werden. Bedürfen die Errichtung und der Betrieb einer Anlage oder Einrichtung der Genehmigung nach diesem Gesetz, können auf Antrag Teilgenehmigungen erteilt werden, wenn eine vorläufige Prüfung ergibt, dass die Genehmigungsvoraussetzungen im Hinblick auf die gesamte jeweils beantragte Maßnahme vorliegen werden und ein berechtigtes Interesse an der Erteilung einer Teilgenehmigung besteht. § 7b dieses Gesetzes und § 18 der Rechtsverordnung nach § 7 Absatz 4 Satz 3 finden auf die Teilgenehmigungen entsprechende Anwendung. Ist neben der Genehmigung nach diesem Gesetz, des Strahlenschutzgesetzes oder den auf Grund dieser Gesetze erlassenen Rechtsverordnungen eine Zulassung nach anderen Rechtsvorschriften erforderlich, schließt die Genehmigung nach diesem Gesetz, des Strahlenschutzgesetzes oder den auf Grund dieser Gesetze erlassenen Rechtsverordnungen die Zulassung ein, soweit dies beantragt wird; die Entscheidung über die Genehmigung ist im Benehmen mit der nach den anderen Rechtsvorschriften zuständigen Behörde zu treffen. Über einen Antrag auf Genehmigung nach Satz 1 oder Satz 3 soll nach Eingang des Antrags und der vollständigen Antragsunterlagen unverzüglich, spätestens innerhalb einer Frist von sechs Monaten, entschieden werden.</w:t>
      </w:r>
    </w:p>
    <w:p>
      <w:r>
        <w:t xml:space="preserve">(4) Soweit für mehrere Genehmigungen nach Absatz 3 Satz 1 für die Rückholung und hiermit im Zusammenhang stehende Maßnahmen der Entsorgung eine Umweltverträglichkeitsprüfung nach dem Gesetz über die Umweltverträglichkeitsprüfung erforderlich ist, können Verfahrensschritte der Umweltverträglichkeitsprüfungen zusammengefasst werden, sofern dies sachdienlich ist.</w:t>
      </w:r>
    </w:p>
    <w:p>
      <w:r>
        <w:t xml:space="preserve">(5) § 114 der Strahlenschutzverordnung vom 20. Juli 2001 (BGBl. I S. 1714; 2002 I S. 1459), die zuletzt durch Artikel 5 Absatz 7 des Gesetzes vom 24. Februar 2012 (BGBl. I S. 212) geändert worden ist, findet Anwendung. Wer radioaktive Stoffe, die nicht als radioaktive Abfälle in die Schachtanlage Asse II eingebracht wurden, untertage in der Schachtanlage Asse II bearbeitet, verarbeitet, lagert oder sonst verwendet, bedarf hierfür keiner Genehmigung nach § 9 dieses Gesetzes oder nach § 12 Absatz 1 Nummer 3 des Strahlenschutzgesetzes, wenn</w:t>
      </w:r>
    </w:p>
    <w:p>
      <w:pPr>
        <w:ind w:left="420"/>
      </w:pPr>
      <w:r>
        <w:t xml:space="preserve">1. die Aktivität der Stoffe das Zehnfache der Freigrenzen der Anlage III Tabelle 1 Spalte 3 der Strahlenschutzverordnung nicht überschreitet und</w:t>
      </w:r>
    </w:p>
    <w:p>
      <w:pPr>
        <w:ind w:left="420"/>
      </w:pPr>
      <w:r>
        <w:t xml:space="preserve">2. er den Beginn der Bearbeitung, Verarbeitung, Lagerung oder sonstigen Verwendung der zuständigen Genehmigungsbehörde vorher anzeigt.</w:t>
      </w:r>
    </w:p>
    <w:p>
      <w:r>
        <w:t xml:space="preserve">Der Störfallplanungswert für die Planung von Rückholungs- und Stilllegungsmaßnahmen bei der Schachtanlage Asse II ist abweichend von § 117 Absatz 16 der Strahlenschutzverordnung bis zum Inkrafttreten allgemeiner Verwaltungsvorschriften zur Störfallvorsorge nach § 50 Absatz 4 der Strahlenschutzverordnung von der Genehmigungsbehörde im Einzelfall festzulegen.</w:t>
      </w:r>
    </w:p>
    <w:p>
      <w:r>
        <w:t xml:space="preserve">(6) Die Kosten für den Weiterbetrieb und die Stilllegung trägt der Bund.</w:t>
      </w:r>
    </w:p>
    <w:p>
      <w:r>
        <w:t xml:space="preserve">(7) Die Erteilung von Genehmigungen zur Annahme von radioaktiven Abfällen und deren Einlagerung ist unzulässig.</w:t>
      </w:r>
    </w:p>
    <w:p>
      <w:r>
        <w:t xml:space="preserve">(8) Zur umfassenden Unterrichtung der Öffentlichkeit werden auf einer Internetplattform die die Schachtanlage Asse II betreffenden wesentlichen Unterlagen nach § 10 des Umweltinformationsgesetzes vom 22. Dezember 2004 (BGBl. I S. 3704) verbreitet. Die wesentlichen Unterlagen umfassen insbesondere auch Weisungen, Empfehlungen und Verwaltungsvorschriften.</w:t>
      </w:r>
    </w:p>
    <w:p>
      <w:r>
        <w:t xml:space="preserve">(9) § 24 Absatz 2 in der bis zum Inkrafttreten dieses Gesetzes geltenden Fassung gilt für die Schachtanlage Asse II fort; § 23d Satz 1 findet mit Ausnahme von Nummer 2 keine Anwendung.</w:t>
      </w:r>
    </w:p>
    <w:p>
      <w:r>
        <w:rPr>
          <w:color w:val="555555"/>
          <w:sz w:val="17"/>
        </w:rPr>
        <w:t xml:space="preserve">Zitiervorschlag: § 57b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https://recht.nulegal.eu/gesetze/AtG/57b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