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AtG — Umfang des erforderlichen Schutzes gegen Störmaßnahmen oder sonstige Einwirkungen Dritter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Der Genehmigungsinhaber stellt den erforderlichen Schutz gegen Störmaßnahmen oder sonstige Einwirkungen Dritter nach § 4 Absatz 2 Nummer 5, § 6 Absatz 2 Nummer 4, § 6 Absatz 3 in Verbindung mit Absatz 2 Nummer 4, § 7 Absatz 2 Nummer 5, § 7 Absatz 3 Satz 2 in Verbindung mit Absatz 2 Nummer 5, § 9 Absatz 2 Nummer 5 und § 9b Absatz 1 in Verbindung mit Absatz 4 Satz 1 sowie § 9b Absatz 1a Satz 2, jeweils in Verbindung mit § 7 Absatz 2 Nummer 5, durch präventive und reaktive Maßnahmen sicher.Diese Maßnahmen umfassen bauliche und sonstige technische sowie personelle und organisatorische Maßnahmen.§ 7c Absatz 1 Satz 2 und Absatz 2 Nummer 1, 2 und 3 gilt entsprechend.</w:t>
      </w:r>
    </w:p>
    <w:p>
      <w:r>
        <w:t xml:space="preserve">(2) Maßnahmen der nuklearen Sicherheit und des erforderlichen Schutzes gegen Störmaßnahmen oder sonstige Einwirkungen Dritter sind aufeinander abzustimmen.</w:t>
      </w:r>
    </w:p>
    <w:p>
      <w:r>
        <w:rPr>
          <w:color w:val="555555"/>
          <w:sz w:val="17"/>
        </w:rPr>
        <w:t xml:space="preserve">Zitiervorschlag: § 43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