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AtG — Schutzziele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Ziele der Maßnahmen nach § 41 für den Schutz von kerntechnischen Anlagen und Tätigkeiten sind die Verhinderung</w:t>
      </w:r>
    </w:p>
    <w:p>
      <w:pPr>
        <w:ind w:left="420"/>
      </w:pPr>
      <w:r>
        <w:t xml:space="preserve">1. der Freisetzung und der missbräuchlichen Nutzung der ionisierenden Strahlung von Kernbrennstoffen oder ihrer Folgeprodukte in erheblichen Mengen vor Ort,</w:t>
      </w:r>
    </w:p>
    <w:p>
      <w:pPr>
        <w:ind w:left="420"/>
      </w:pPr>
      <w:r>
        <w:t xml:space="preserve">2. der einfachen oder wiederholten Entwendung von Kernbrennstoffen oder ihrer Folgeprodukte in erheblichen Mengen mit dem Ziel der Freisetzung oder der missbräuchlichen Nutzung ionisierender Strahlung an einem beliebigen Ort und</w:t>
      </w:r>
    </w:p>
    <w:p>
      <w:pPr>
        <w:ind w:left="420"/>
      </w:pPr>
      <w:r>
        <w:t xml:space="preserve">3. der einfachen oder wiederholten Entwendung von Kernbrennstoffen in Mengen, die in der Summe zur Herstellung einer kritischen Anordnung ausreichen.</w:t>
      </w:r>
    </w:p>
    <w:p>
      <w:r>
        <w:rPr>
          <w:color w:val="555555"/>
          <w:sz w:val="17"/>
        </w:rPr>
        <w:t xml:space="preserve">Zitiervorschlag: § 42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