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40b AtG — Gerichtsstand bei Klagen auf Freistellung nach § 34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17.02.2022 (konsolidierte Textfassung, kein amtliches Inkrafttretensdatum)</w:t>
      </w:r>
    </w:p>
    <w:p>
      <w:r>
        <w:t xml:space="preserve">Für Klagen des Inhabers einer Kernanlage oder des Besitzers eines radioaktiven Stoffes gegen den Bund und das zuständige Land auf Freistellung nach § 34 ist das Landgericht am Sitz der Bundesregierung ausschließlich zuständig.</w:t>
      </w:r>
    </w:p>
    <w:p>
      <w:r>
        <w:rPr>
          <w:color w:val="555555"/>
          <w:sz w:val="17"/>
        </w:rPr>
        <w:t xml:space="preserve">Zitiervorschlag: § 40b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https://recht.nulegal.eu/gesetze/AtG/40b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