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AtG — Beförderung von Kernbrennstoffen</w:t>
      </w:r>
    </w:p>
    <w:p>
      <w:r>
        <w:rPr>
          <w:color w:val="555555"/>
          <w:sz w:val="18"/>
        </w:rPr>
        <w:t xml:space="preserve">Atomgesetz</w:t>
      </w:r>
    </w:p>
    <w:p>
      <w:r>
        <w:rPr>
          <w:color w:val="555555"/>
          <w:sz w:val="18"/>
        </w:rPr>
        <w:t xml:space="preserve">Stand: 17.02.2022 (konsolidierte Textfassung, kein amtliches Inkrafttretensdatum)</w:t>
      </w:r>
    </w:p>
    <w:p>
      <w:r>
        <w:t xml:space="preserve">(1) Die Beförderung von Kernbrennstoffen außerhalb eines abgeschlossenen Geländes, auf dem Kernbrennstoffe staatlich verwahrt werden oder eine nach den §§ 6, 7 und 9 genehmigte Tätigkeit ausgeübt wird, bedarf der Genehmigung. Diese wird dem Absender oder demjenigen erteilt, der es übernimmt, die Versendung oder Beförderung der Kernbrennstoffe zu besorgen.</w:t>
      </w:r>
    </w:p>
    <w:p>
      <w:r>
        <w:t xml:space="preserve">(2) Die Genehmigung ist zu erteilen, wenn</w:t>
      </w:r>
    </w:p>
    <w:p>
      <w:pPr>
        <w:ind w:left="420"/>
      </w:pPr>
      <w:r>
        <w:t xml:space="preserve">1. keine Tatsachen vorliegen, aus denen sich Bedenken gegen die Zuverlässigkeit des Antragstellers, des Beförderers und der den Transport ausführenden Personen ergeben, und, falls ein Strahlenschutzbeauftragter nicht notwendig ist, eine der für die Beförderung der Kernbrennstoffe verantwortlichen natürlichen Personen die hierfür erforderliche Fachkunde besitzt,</w:t>
      </w:r>
    </w:p>
    <w:p>
      <w:pPr>
        <w:ind w:left="420"/>
      </w:pPr>
      <w:r>
        <w:t xml:space="preserve">2. gewährleistet ist, daß die Beförderung durch Personen ausgeführt wird, die die notwendigen Kenntnisse über die mögliche Strahlengefährdung und die anzuwendenden Schutzmaßnahmen für die beabsichtigte Beförderung von Kernbrennstoffen besitzen,</w:t>
      </w:r>
    </w:p>
    <w:p>
      <w:pPr>
        <w:ind w:left="420"/>
      </w:pPr>
      <w:r>
        <w:t xml:space="preserve">3. gewährleistet ist, daß die Kernbrennstoffe unter Beachtung der für den jeweiligen Verkehrsträger geltenden Rechtsvorschriften über die Beförderung gefährlicher Güter befördert werden oder, soweit solche Vorschriften fehlen, auf andere Weise die nach dem Stand von Wissenschaft und Technik erforderliche Vorsorge gegen Schäden durch die Beförderung der Kernbrennstoffe getroffen ist,</w:t>
      </w:r>
    </w:p>
    <w:p>
      <w:pPr>
        <w:ind w:left="420"/>
      </w:pPr>
      <w:r>
        <w:t xml:space="preserve">4. die erforderliche Vorsorge für die Erfüllung gesetzlicher Schadensersatzverpflichtungen getroffen ist,</w:t>
      </w:r>
    </w:p>
    <w:p>
      <w:pPr>
        <w:ind w:left="420"/>
      </w:pPr>
      <w:r>
        <w:t xml:space="preserve">5. der erforderliche Schutz gegen Störmaßnahmen oder sonstige Einwirkungen Dritter gewährleistet ist,</w:t>
      </w:r>
    </w:p>
    <w:p>
      <w:pPr>
        <w:ind w:left="420"/>
      </w:pPr>
      <w:r>
        <w:t xml:space="preserve">6. überwiegende öffentliche Interessen der Wahl der Art, der Zeit und des Weges der Beförderung nicht entgegenstehen,</w:t>
      </w:r>
    </w:p>
    <w:p>
      <w:pPr>
        <w:ind w:left="420"/>
      </w:pPr>
      <w:r>
        <w:t xml:space="preserve">7. für die Beförderung bestrahlter Brennelemente von Anlagen zur Spaltung von Kernbrennstoffen zur gewerblichen Erzeugung von Elektrizität zu zentralen Zwischenlagern nach § 6 Abs. 1 nachgewiesen ist, dass eine Lagermöglichkeit in einem nach § 9a Abs. 2 Satz 3 zu errichtenden standortnahen Zwischenlager nicht verfügbar ist.</w:t>
      </w:r>
    </w:p>
    <w:p>
      <w:r>
        <w:t xml:space="preserve">(3) (weggefallen)</w:t>
      </w:r>
    </w:p>
    <w:p>
      <w:r>
        <w:t xml:space="preserve">(4) Die Genehmigung ist für den einzelnen Beförderungsvorgang zu erteilen; sie kann jedoch einem Antragsteller allgemein auf längstens drei Jahre erteilt werden, soweit die in § 1 Nr. 2 bis 4 bezeichneten Zwecke nicht entgegenstehen.</w:t>
      </w:r>
    </w:p>
    <w:p>
      <w:r>
        <w:t xml:space="preserve">(5) Eine Ausfertigung oder eine öffentlich beglaubigte Abschrift des Genehmigungsbescheids ist bei der Beförderung mitzuführen. Soweit sich die Haftung nach dem Pariser Übereinkommen in Verbindung mit § 25 Abs. 1 bis 4 bestimmt, hat der Beförderer außerdem eine Bescheinigung mit sich zu führen, die den Anforderungen des Artikels 4 Abs. d des Pariser Übereinkommens entspricht. Der Bescheid und die Bescheinigung sind der für die Kontrolle zuständigen Behörde und den von ihr Beauftragten auf Verlangen vorzuzeigen.</w:t>
      </w:r>
    </w:p>
    <w:p>
      <w:r>
        <w:t xml:space="preserve">(6) Absatz 5 Satz 1 gilt nicht für die Beförderung mit der Eisenbahn durch einen Eisenbahnunternehmer. Im übrigen bleiben die für die jeweiligen Verkehrsträger geltenden Rechtsvorschriften über die Beförderung gefährlicher Güter unberührt.</w:t>
      </w:r>
    </w:p>
    <w:p>
      <w:r>
        <w:rPr>
          <w:color w:val="555555"/>
          <w:sz w:val="17"/>
        </w:rPr>
        <w:t xml:space="preserve">Zitiervorschlag: § 4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