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AtG — Ausnahmen von den Leistungen des Bundes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Freistellungsverpflichtung nach § 34 und dem Ausgleich nach § 38 sind die nach § 15 Abs. 1 bis 3 nachrangig zu befriedigenden Ersatzansprüche nicht zu berücksichtigen.</w:t>
      </w:r>
    </w:p>
    <w:p>
      <w:r>
        <w:t xml:space="preserve">(2) Entschädigungen nach § 29 Abs. 2 sind in die Freistellungsverpflichtung nach § 34 und den Ausgleich nach § 38 nur miteinzubeziehen, wenn die Leistung einer Entschädigung wegen der besonderen Schwere der Verletzung zur Vermeidung einer groben Unbilligkeit erforderlich ist.</w:t>
      </w:r>
    </w:p>
    <w:p>
      <w:r>
        <w:rPr>
          <w:color w:val="555555"/>
          <w:sz w:val="17"/>
        </w:rPr>
        <w:t xml:space="preserve">Zitiervorschlag: § 39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