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AtG — Rückgriff bei der Freistellung</w:t>
      </w:r>
    </w:p>
    <w:p>
      <w:r>
        <w:rPr>
          <w:color w:val="555555"/>
          <w:sz w:val="18"/>
        </w:rPr>
        <w:t xml:space="preserve">Atomgesetz</w:t>
      </w:r>
    </w:p>
    <w:p>
      <w:r>
        <w:rPr>
          <w:color w:val="555555"/>
          <w:sz w:val="18"/>
        </w:rPr>
        <w:t xml:space="preserve">Stand: 10.06.2019 (konsolidierte Textfassung, kein amtliches Inkrafttretensdatum)</w:t>
      </w:r>
    </w:p>
    <w:p>
      <w:r>
        <w:t xml:space="preserve">(1) Ist der Inhaber einer Kernanlage oder der Besitzer eines radioaktiven Stoffes nach § 34 von Schadensersatzverpflichtungen freigestellt worden, so kann gegen den Inhaber der Kernanlage oder gegen den Besitzer eines radioaktiven Stoffes in Höhe der erbrachten Leistungen Rückgriff genommen werden, soweit</w:t>
      </w:r>
    </w:p>
    <w:p>
      <w:pPr>
        <w:ind w:left="420"/>
      </w:pPr>
      <w:r>
        <w:t xml:space="preserve">1. dieser seine sich aus § 34 Abs. 2 oder 3 ergebenden Verpflichtungen verletzt; der Rückgriff ist jedoch insoweit ausgeschlossen, als die Verletzung weder Einfluß auf die Feststellung des Schadens noch auf die Feststellung oder den Umfang der erbrachten Leistungen gehabt hat;</w:t>
      </w:r>
    </w:p>
    <w:p>
      <w:pPr>
        <w:ind w:left="420"/>
      </w:pPr>
      <w:r>
        <w:t xml:space="preserve">2. dieser oder, falls es sich um eine juristische Person handelt, sein gesetzlicher Vertreter in Ausführung der ihm zustehenden Verrichtungen den Schaden vorsätzlich oder grob fahrlässig herbeigeführt hat;</w:t>
      </w:r>
    </w:p>
    <w:p>
      <w:pPr>
        <w:ind w:left="420"/>
      </w:pPr>
      <w:r>
        <w:t xml:space="preserve">3. die Leistungen erbracht worden sind, weil die vorhandene Deckungsvorsorge in Umfang und Höhe nicht der behördlichen Festsetzung entsprochen hat.</w:t>
      </w:r>
    </w:p>
    <w:p>
      <w:r>
        <w:t xml:space="preserve">(2) Gegen den Inhaber der Kernanlage oder den Besitzer eines radioaktiven Stoffes kann ohne Vorliegen der in Absatz 1 genannten Voraussetzungen Rückgriff genommen werden, soweit er kein Deutscher ist und seinen Sitz, Wohnsitz oder ständigen Aufenthalt in einem Staat hat, der weder Vertragsstaat der Verträge über die Europäischen Gemeinschaften noch des Pariser Übereinkommens noch des Wiener Übereinkommens in Verbindung mit dem Gemeinsamen Protokoll noch eines sonstigen, zum Zeitpunkt des schädigenden Ereignisses in Kraft befindlichen Übereinkommens mit der Bundesrepublik Deutschland über die Haftung für nukleare Schäden ist.</w:t>
      </w:r>
    </w:p>
    <w:p>
      <w:r>
        <w:rPr>
          <w:color w:val="555555"/>
          <w:sz w:val="17"/>
        </w:rPr>
        <w:t xml:space="preserve">Zitiervorschlag: § 37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