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AtG — Verteilungsverfahren</w:t>
      </w:r>
    </w:p>
    <w:p>
      <w:r>
        <w:rPr>
          <w:color w:val="555555"/>
          <w:sz w:val="18"/>
        </w:rPr>
        <w:t xml:space="preserve">Atomgesetz</w:t>
      </w:r>
    </w:p>
    <w:p>
      <w:r>
        <w:rPr>
          <w:color w:val="555555"/>
          <w:sz w:val="18"/>
        </w:rPr>
        <w:t xml:space="preserve">Stand: 10.06.2019 (konsolidierte Textfassung, kein amtliches Inkrafttretensdatum)</w:t>
      </w:r>
    </w:p>
    <w:p>
      <w:r>
        <w:t xml:space="preserve">(1) Ist damit zu rechnen, daß die gesetzlichen Schadensersatzverpflichtungen aus einem Schadensereignis die zur Erfüllung der Schadensersatzverpflichtungen zur Verfügung stehenden Mittel übersteigen, so wird ihre Verteilung sowie das dabei zu beobachtende Verfahren durch Gesetz, bis zum Erlaß eines solchen Gesetzes durch Rechtsverordnung geregelt.</w:t>
      </w:r>
    </w:p>
    <w:p>
      <w:r>
        <w:t xml:space="preserve">(2) Die in Absatz 1 bezeichnete Rechtsverordnung kann über die Verteilung der zur Erfüllung gesetzlicher Schadensersatzverpflichtungen zur Verfügung stehenden Mittel nur solche Regelungen treffen, die zur Abwendung von Notständen erforderlich sind. Sie muß sicherstellen, daß die Befriedigung der Gesamtheit aller Geschädigten nicht durch die Befriedigung einzelner Geschädigter unangemessen beeinträchtigt wird.</w:t>
      </w:r>
    </w:p>
    <w:p>
      <w:r>
        <w:rPr>
          <w:color w:val="555555"/>
          <w:sz w:val="17"/>
        </w:rPr>
        <w:t xml:space="preserve">Zitiervorschlag: § 35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