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AtG — Einfuhr und Ausfuhr</w:t>
      </w:r>
    </w:p>
    <w:p>
      <w:r>
        <w:rPr>
          <w:color w:val="555555"/>
          <w:sz w:val="18"/>
        </w:rPr>
        <w:t xml:space="preserve">Atomgesetz</w:t>
      </w:r>
    </w:p>
    <w:p>
      <w:r>
        <w:rPr>
          <w:color w:val="555555"/>
          <w:sz w:val="18"/>
        </w:rPr>
        <w:t xml:space="preserve">Stand: 10.06.2019 (konsolidierte Textfassung, kein amtliches Inkrafttretensdatum)</w:t>
      </w:r>
    </w:p>
    <w:p>
      <w:r>
        <w:t xml:space="preserve">(1) Wer Kernbrennstoffe einführt oder ausführt, bedarf der Genehmigung.</w:t>
      </w:r>
    </w:p>
    <w:p>
      <w:r>
        <w:t xml:space="preserve">(2) Die Genehmigung zur Einfuhr ist zu erteilen, wenn</w:t>
      </w:r>
    </w:p>
    <w:p>
      <w:pPr>
        <w:ind w:left="420"/>
      </w:pPr>
      <w:r>
        <w:t xml:space="preserve">1. keine Tatsachen vorliegen, aus denen sich Bedenken gegen die Zuverlässigkeit des Einführers ergeben, und</w:t>
      </w:r>
    </w:p>
    <w:p>
      <w:pPr>
        <w:ind w:left="420"/>
      </w:pPr>
      <w:r>
        <w:t xml:space="preserve">2. gewährleistet ist, daß die einzuführenden Kernbrennstoffe unter Beachtung der Vorschriften dieses Gesetzes, der auf Grund dieses Gesetzes erlassenen Rechtsverordnungen und der internationalen Verpflichtungen der Bundesrepublik Deutschland auf dem Gebiet der Kernenergie verwendet werden.</w:t>
      </w:r>
    </w:p>
    <w:p>
      <w:r>
        <w:t xml:space="preserve">(3) Die Genehmigung zur Ausfuhr ist zu erteilen, wenn</w:t>
      </w:r>
    </w:p>
    <w:p>
      <w:pPr>
        <w:ind w:left="420"/>
      </w:pPr>
      <w:r>
        <w:t xml:space="preserve">1. keine Tatsachen vorliegen, aus denen sich Bedenken gegen die Zuverlässigkeit des Ausführers ergeben, und</w:t>
      </w:r>
    </w:p>
    <w:p>
      <w:pPr>
        <w:ind w:left="420"/>
      </w:pPr>
      <w:r>
        <w:t xml:space="preserve">2. gewährleistet ist, daß die auszuführenden Kernbrennstoffe nicht in einer die internationalen Verpflichtungen der Bundesrepublik Deutschland auf dem Gebiet der Kernenergie oder die innere oder äußere Sicherheit der Bundesrepublik Deutschland gefährdenden Weise verwendet werden.</w:t>
      </w:r>
    </w:p>
    <w:p>
      <w:r>
        <w:t xml:space="preserve">(4) Andere Rechtsvorschriften über die Einfuhr und Ausfuhr bleiben unberührt.</w:t>
      </w:r>
    </w:p>
    <w:p>
      <w:r>
        <w:t xml:space="preserve">(5) Der Einfuhr oder Ausfuhr im Sinne dieses Gesetzes steht jede sonstige Verbringung in den Geltungsbereich oder aus dem Geltungsbereich dieses Gesetzes gleich.</w:t>
      </w:r>
    </w:p>
    <w:p>
      <w:r>
        <w:t xml:space="preserve">(6) Die Erteilung einer Genehmigung zur Ausfuhr von aus dem Betrieb von Anlagen zur Spaltung von Kernbrennstoffen zu Forschungszwecken stammenden bestrahlten Brennelementen darf nur aus schwerwiegenden Gründen der Nichtverbreitung von Kernbrennstoffen oder aus Gründen einer ausreichenden Versorgung deutscher Forschungsreaktoren mit Brennelementen für medizinische und sonstige Zwecke der Spitzenforschung erfolgen. Davon ausgenommen ist die Verbringung der Brennelemente nach Satz 1 mit dem Ziel der Herstellung in Deutschland endlagerfähiger und endzulagernder Abfallgebinde. Abweichend von Satz 1 darf eine Genehmigung zur Ausfuhr bestrahlter Brennelemente nach Satz 1 nicht erteilt werden, wenn diese Brennelemente auf der Grundlage einer Genehmigung nach § 6 im Inland zwischengelagert sind.</w:t>
      </w:r>
    </w:p>
    <w:p>
      <w:r>
        <w:rPr>
          <w:color w:val="555555"/>
          <w:sz w:val="17"/>
        </w:rPr>
        <w:t xml:space="preserve">Zitiervorschlag: § 3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