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2d AtG — Grundsätze der nuklearen Entsorgung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Nationale Entsorgungsprogramm nach § 2c berücksichtigt folgende Grundsätze:</w:t>
      </w:r>
    </w:p>
    <w:p>
      <w:pPr>
        <w:ind w:left="420"/>
      </w:pPr>
      <w:r>
        <w:t xml:space="preserve">1. der Anfall radioaktiver Abfälle wird durch eine geeignete Auslegung sowie Betriebs- und Stilllegungsverfahren, einschließlich der Weiter- und Wiederverwendung von Material, auf das Maß beschränkt, das hinsichtlich Aktivität und Volumen der radioaktiven Abfälle vernünftigerweise realisierbar ist,</w:t>
      </w:r>
    </w:p>
    <w:p>
      <w:pPr>
        <w:ind w:left="420"/>
      </w:pPr>
      <w:r>
        <w:t xml:space="preserve">2. die wechselseitigen Abhängigkeiten der einzelnen Schritte beim Anfall und bei der Entsorgung abgebrannter Brennelemente und radioaktiver Abfälle werden berücksichtigt,</w:t>
      </w:r>
    </w:p>
    <w:p>
      <w:pPr>
        <w:ind w:left="420"/>
      </w:pPr>
      <w:r>
        <w:t xml:space="preserve">3. abgebrannte Brennelemente und radioaktive Abfälle werden sicher entsorgt, wobei im Hinblick auf die langfristige Sicherheit auch die Aspekte der passiven Sicherheit zu berücksichtigen sind,</w:t>
      </w:r>
    </w:p>
    <w:p>
      <w:pPr>
        <w:ind w:left="420"/>
      </w:pPr>
      <w:r>
        <w:t xml:space="preserve">4. die Durchführung von Maßnahmen erfolgt nach einem abgestuften Konzept,</w:t>
      </w:r>
    </w:p>
    <w:p>
      <w:pPr>
        <w:ind w:left="420"/>
      </w:pPr>
      <w:r>
        <w:t xml:space="preserve">5. die Kosten der Entsorgung abgebrannter Brennelemente und radioaktiver Abfälle werden nach Maßgabe der hierzu erlassenen Rechtsvorschriften einschließlich des Entsorgungsfondsgesetzes von den Abfallerzeugern getragen und</w:t>
      </w:r>
    </w:p>
    <w:p>
      <w:pPr>
        <w:ind w:left="420"/>
      </w:pPr>
      <w:r>
        <w:t xml:space="preserve">6. in Bezug auf alle Stufen der Entsorgung abgebrannter Brennelemente und radioaktiver Abfälle wird ein faktengestützter und dokumentierter Entscheidungsprozess angewendet.</w:t>
      </w:r>
    </w:p>
    <w:p>
      <w:r>
        <w:rPr>
          <w:color w:val="555555"/>
          <w:sz w:val="17"/>
        </w:rPr>
        <w:t xml:space="preserve">Zitiervorschlag: § 2d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