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2c AtG — Nationales Entsorgungsprogramm</w:t>
      </w:r>
    </w:p>
    <w:p>
      <w:r>
        <w:rPr>
          <w:color w:val="555555"/>
          <w:sz w:val="18"/>
        </w:rPr>
        <w:t xml:space="preserve">Atomgesetz</w:t>
      </w:r>
    </w:p>
    <w:p>
      <w:r>
        <w:rPr>
          <w:color w:val="555555"/>
          <w:sz w:val="18"/>
        </w:rPr>
        <w:t xml:space="preserve">Stand: 10.06.2019 (konsolidierte Textfassung, kein amtliches Inkrafttretensdatum)</w:t>
      </w:r>
    </w:p>
    <w:p>
      <w:r>
        <w:t xml:space="preserve">(1) Die Bundesregierung legt in einem Nationalen Entsorgungsprogramm dar, wie die nationale Strategie für eine verantwortungsvolle und sichere Entsorgung abgebrannter Brennelemente und radioaktiver Abfälle umgesetzt werden soll.</w:t>
      </w:r>
    </w:p>
    <w:p>
      <w:r>
        <w:t xml:space="preserve">(2) Das Nationale Entsorgungsprogramm umfasst eine Darlegung folgender Bestandteile:</w:t>
      </w:r>
    </w:p>
    <w:p>
      <w:pPr>
        <w:ind w:left="420"/>
      </w:pPr>
      <w:r>
        <w:t xml:space="preserve">1. die Gesamtziele der nationalen Strategie in Bezug auf die Entsorgung abgebrannter Brennelemente und radioaktiver Abfälle,</w:t>
      </w:r>
    </w:p>
    <w:p>
      <w:pPr>
        <w:ind w:left="420"/>
      </w:pPr>
      <w:r>
        <w:t xml:space="preserve">2. die maßgeblichen Zwischenetappen und klaren Zeitpläne für die Erreichung dieser Zwischenetappen unter Beachtung der übergreifenden Ziele des Nationalen Entsorgungsprogramms,</w:t>
      </w:r>
    </w:p>
    <w:p>
      <w:pPr>
        <w:ind w:left="420"/>
      </w:pPr>
      <w:r>
        <w:t xml:space="preserve">3. eine nationale Bestandsaufnahme sämtlicher abgebrannter Brennelemente und radioaktiver Abfälle sowie Schätzungen der künftigen Mengen, auch aus der Stilllegung von Anlagen und Einrichtungen, wobei aus der Bestandsaufnahme der Standort und die Menge radioaktiver Abfälle und abgebrannter Brennelemente gemäß einer geeigneten Klassifizierung der radioaktiven Abfälle eindeutig hervorgehen müssen,</w:t>
      </w:r>
    </w:p>
    <w:p>
      <w:pPr>
        <w:ind w:left="420"/>
      </w:pPr>
      <w:r>
        <w:t xml:space="preserve">4. die Konzepte oder Pläne und die technischen Lösungen für die Entsorgung abgebrannter Brennelemente und radioaktiver Abfälle vom Anfall bis zur Endlagerung,</w:t>
      </w:r>
    </w:p>
    <w:p>
      <w:pPr>
        <w:ind w:left="420"/>
      </w:pPr>
      <w:r>
        <w:t xml:space="preserve">5. die Konzepte oder Pläne für den Zeitraum nach Beendigung der Stilllegung von Anlagen zur Endlagerung radioaktiver Abfälle nach § 9a Absatz 3, einschließlich vorgesehener Angaben über Kontrollzeiträume und vorgesehener Maßnahmen, um das Wissen über die Anlagen längerfristig zu bewahren,</w:t>
      </w:r>
    </w:p>
    <w:p>
      <w:pPr>
        <w:ind w:left="420"/>
      </w:pPr>
      <w:r>
        <w:t xml:space="preserve">6. die Forschungs-, Entwicklungs- und Erprobungstätigkeiten, die erforderlich sind, um Lösungen für die Entsorgung abgebrannter Brennelemente und radioaktiver Abfälle umzusetzen,</w:t>
      </w:r>
    </w:p>
    <w:p>
      <w:pPr>
        <w:ind w:left="420"/>
      </w:pPr>
      <w:r>
        <w:t xml:space="preserve">7. die Zuständigkeit für die Umsetzung des Nationalen Entsorgungsprogramms und die Leistungskennzahlen für die Überwachung der Fortschritte bei der Umsetzung,</w:t>
      </w:r>
    </w:p>
    <w:p>
      <w:pPr>
        <w:ind w:left="420"/>
      </w:pPr>
      <w:r>
        <w:t xml:space="preserve">8. eine Abschätzung der Kosten des Nationalen Entsorgungsprogramms sowie die Grundlagen und Annahmen, auf denen diese Abschätzung beruht, einschließlich einer Darstellung des zeitlichen Profils der voraussichtlichen Kostenentwicklung,</w:t>
      </w:r>
    </w:p>
    <w:p>
      <w:pPr>
        <w:ind w:left="420"/>
      </w:pPr>
      <w:r>
        <w:t xml:space="preserve">9. die geltenden Finanzierungsregelungen,</w:t>
      </w:r>
    </w:p>
    <w:p>
      <w:pPr>
        <w:ind w:left="420"/>
      </w:pPr>
      <w:r>
        <w:t xml:space="preserve">10. die geltenden Transparenzregelungen sowie</w:t>
      </w:r>
    </w:p>
    <w:p>
      <w:pPr>
        <w:ind w:left="420"/>
      </w:pPr>
      <w:r>
        <w:t xml:space="preserve">11. gegebenenfalls mit einem Mitgliedstaat der Europäischen Union oder einem Drittland geschlossene Abkommen über Entsorgungsmaßnahmen in Bezug auf abgebrannte Brennelemente und radioaktive Abfälle; § 1 Absatz 1 des Standortauswahlgesetzes bleibt unberührt.</w:t>
      </w:r>
    </w:p>
    <w:p>
      <w:r>
        <w:t xml:space="preserve">Das Nationale Entsorgungsprogramm kann in einem oder in mehreren Dokumenten niedergelegt werden.</w:t>
      </w:r>
    </w:p>
    <w:p>
      <w:r>
        <w:t xml:space="preserve">(3) Die Bundesregierung überprüft das Nationale Entsorgungsprogramm regelmäßig, mindestens aber alle zehn Jahre ab der erstmaligen Erstellung, spätestens ab dem 23. August 2015, und aktualisiert es danach bei Bedarf, wobei sie gegebenenfalls den wissenschaftlichen und technischen Fortschritt sowie Empfehlungen, Erfahrungen und bewährte Praktiken, die sich aus den Prüfungen durch Experten ergeben, berücksichtigt.</w:t>
      </w:r>
    </w:p>
    <w:p>
      <w:r>
        <w:t xml:space="preserve">(4) Zur Vorbereitung der Darlegung der Bestandteile des Nationalen Entsorgungsprogramms sind die nach § 9a Absatz 1 Satz 1 Entsorgungspflichtigen und die Besitzer abgebrannter Brennelemente oder radioaktiver Abfälle, sofern beide ihre radioaktiven Abfälle nicht nach einer aufgrund dieses Gesetzes erlassenen Rechtsverordnung an eine Landessammelstelle abzuliefern haben, verpflichtet, auf Verlangen des für die kerntechnische Sicherheit und den Strahlenschutz zuständigen Bundesministeriums die erforderlichen Auskünfte zu erteilen über</w:t>
      </w:r>
    </w:p>
    <w:p>
      <w:pPr>
        <w:ind w:left="420"/>
      </w:pPr>
      <w:r>
        <w:t xml:space="preserve">1. die bestehenden Entsorgungskonzepte, einschließlich realistischer Angaben über die technischen, organisatorischen und zeitlichen Planungen für die einzelnen Entsorgungsschritte vom Anfall abgebrannter Brennelemente und radioaktiver Abfälle bis zur Ablieferung an eine Anlage zur Endlagerung,</w:t>
      </w:r>
    </w:p>
    <w:p>
      <w:pPr>
        <w:ind w:left="420"/>
      </w:pPr>
      <w:r>
        <w:t xml:space="preserve">2. die Mengen, Arten, Eigenschaften und Standorte der bei ihnen bisher angefallenen oder gelagerten abgebrannten Brennelemente und radioaktiven Abfälle sowie</w:t>
      </w:r>
    </w:p>
    <w:p>
      <w:pPr>
        <w:ind w:left="420"/>
      </w:pPr>
      <w:r>
        <w:t xml:space="preserve">3. eine Schätzung der zukünftig bei ihnen anfallenden oder zu lagernden Mengen abgebrannter Brennelemente und radioaktiver Abfälle, klassifiziert nach Arten und Eigenschaften sowie unter Berücksichtigung von Stilllegungsmaßnahmen.</w:t>
      </w:r>
    </w:p>
    <w:p>
      <w:r>
        <w:t xml:space="preserve">Die Übermittlung des Auskunftsverlangens nach diesem Absatz an die Auskunftsverpflichteten und der erteilten Auskünfte an das für die kerntechnische Sicherheit und den Strahlenschutz zuständige Bundesministerium erfolgt über die zuständigen Behörden der Länder.</w:t>
      </w:r>
    </w:p>
    <w:p>
      <w:r>
        <w:rPr>
          <w:color w:val="555555"/>
          <w:sz w:val="17"/>
        </w:rPr>
        <w:t xml:space="preserve">Zitiervorschlag: § 2c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