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2b AtG — Elektronische Kommunikation</w:t>
      </w:r>
    </w:p>
    <w:p>
      <w:r>
        <w:rPr>
          <w:color w:val="555555"/>
          <w:sz w:val="18"/>
        </w:rPr>
        <w:t xml:space="preserve">Atomgesetz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des Verwaltungsverfahrensgesetzes über die elektronische Kommunikation finden Anwendung, soweit nicht durch Rechtsvorschriften dieses Gesetzes oder einer auf Grund dieses Gesetzes erlassenen Rechtsverordnung etwas anderes bestimmt ist.</w:t>
      </w:r>
    </w:p>
    <w:p>
      <w:r>
        <w:t xml:space="preserve">(2) Elektronische Verwaltungsakte nach diesem Gesetz oder nach einer auf Grund dieses Gesetzes erlassenen Rechtsverordnung sind mit einer dauerhaft überprüfbaren qualifizierten elektronischen Signatur nach § 37 Abs. 4 des Verwaltungsverfahrensgesetzes zu versehen.</w:t>
      </w:r>
    </w:p>
    <w:p>
      <w:r>
        <w:t xml:space="preserve">(3) Erfolgt die Antragstellung in elektronischer Form, kann die zuständige Behörde Mehrfertigungen sowie die Übermittlung der dem Antrag beizufügenden Unterlagen auch in schriftlicher Form verlangen.</w:t>
      </w:r>
    </w:p>
    <w:p>
      <w:r>
        <w:rPr>
          <w:color w:val="555555"/>
          <w:sz w:val="17"/>
        </w:rPr>
        <w:t xml:space="preserve">Zitiervorschlag: § 2b 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https://recht.nulegal.eu/gesetze/AtG/2b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