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AtG — Haftung für Reaktorschiffe</w:t>
      </w:r>
    </w:p>
    <w:p>
      <w:r>
        <w:rPr>
          <w:color w:val="555555"/>
          <w:sz w:val="18"/>
        </w:rPr>
        <w:t xml:space="preserve">Atomgesetz</w:t>
      </w:r>
    </w:p>
    <w:p>
      <w:r>
        <w:rPr>
          <w:color w:val="555555"/>
          <w:sz w:val="18"/>
        </w:rPr>
        <w:t xml:space="preserve">Stand: 17.02.2022 (konsolidierte Textfassung, kein amtliches Inkrafttretensdatum)</w:t>
      </w:r>
    </w:p>
    <w:p>
      <w:r>
        <w:t xml:space="preserve">(1) Auf die Haftung des Inhabers eines Reaktorschiffes finden die Vorschriften dieses Abschnitts mit folgender Maßgabe entsprechende Anwendung:</w:t>
      </w:r>
    </w:p>
    <w:p>
      <w:pPr>
        <w:ind w:left="420"/>
      </w:pPr>
      <w:r>
        <w:t xml:space="preserve">1. An die Stelle der Bestimmungen des Pariser Übereinkommens treten die entsprechenden Bestimmungen des Brüsseler Reaktorschiff-Übereinkommens (BGBl. 1975 II S. 977). Dieses ist unabhängig von seiner völkerrechtlichen Verbindlichkeit für die Bundesrepublik Deutschland innerstaatlich anzuwenden, soweit nicht seine Regeln eine durch das Inkrafttreten des Übereinkommens bewirkte Gegenseitigkeit voraussetzen.</w:t>
      </w:r>
    </w:p>
    <w:p>
      <w:pPr>
        <w:ind w:left="420"/>
      </w:pPr>
      <w:r>
        <w:t xml:space="preserve">2. Tritt der Schaden in einem anderen Staat ein, so gilt § 31 Abs. 1 hinsichtlich des den Höchstbetrag des Brüsseler Reaktorschiff-Übereinkommens überschreitenden Betrags nur, soweit das Recht dieses Staates zum Zeitpunkt des nuklearen Ereignisses eine auch im Verhältnis zur Bundesrepublik Deutschland anwendbare, nach Art, Ausmaß und Höhe gleichwertige Regelung der Haftung der Inhaber von Reaktorschiffen vorsieht. § 31 Abs. 2, §§ 36, 38 Abs. 1 und § 40 sind nicht anzuwenden.</w:t>
      </w:r>
    </w:p>
    <w:p>
      <w:pPr>
        <w:ind w:left="420"/>
      </w:pPr>
      <w:r>
        <w:t xml:space="preserve">3. § 34 gilt nur für Reaktorschiffe, die berechtigt sind, die Bundesflagge zu führen. Wird ein Reaktorschiff im Inland für einen anderen Staat oder Personen eines anderen Staates gebaut oder mit einem Reaktor ausgerüstet, so gilt § 34 bis zu dem Zeitpunkt, in dem das Reaktorschiff in dem anderen Staat registriert wird oder das Recht erwirbt, die Flagge eines anderen Staates zu führen. Die sich aus § 34 ergebende Freistellungsverpflichtung ist zu 75 vom Hundert vom Bund und im übrigen von dem für die Genehmigung des Reaktorschiffs nach § 7 zuständigen Land zu tragen.</w:t>
      </w:r>
    </w:p>
    <w:p>
      <w:pPr>
        <w:ind w:left="420"/>
      </w:pPr>
      <w:r>
        <w:t xml:space="preserve">4. Bei Reaktorschiffen, die nicht berechtigt sind, die Bundesflagge zu führen, gilt dieser Abschnitt nur, wenn durch das Reaktorschiff verursachte Schäden im Inland eingetreten sind.</w:t>
      </w:r>
    </w:p>
    <w:p>
      <w:pPr>
        <w:ind w:left="420"/>
      </w:pPr>
      <w:r>
        <w:t xml:space="preserve">5. Für Schadensersatzansprüche sind die Gerichte des Staates zuständig, dessen Flagge das Reaktorschiff zu führen berechtigt ist; in den Fällen der Nummer 4 ist auch das Gericht des Ortes im Inland zuständig, an dem der Schaden eingetreten ist.</w:t>
      </w:r>
    </w:p>
    <w:p>
      <w:r>
        <w:t xml:space="preserve">(2) Soweit internationale Verträge über die Haftung für Reaktorschiffe zwingend abweichende Bestimmungen enthalten, haben diese Vorrang vor den Bestimmungen dieses Gesetzes.</w:t>
      </w:r>
    </w:p>
    <w:p>
      <w:r>
        <w:rPr>
          <w:color w:val="555555"/>
          <w:sz w:val="17"/>
        </w:rPr>
        <w:t xml:space="preserve">Zitiervorschlag: § 25a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