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24b AtG — Selbstbewertung und internationale Prüfung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dem Ziel der kontinuierlichen Verbesserung der nuklearen Sicherheit und der Sicherheit der Entsorgung abgebrannter Brennelemente und radioaktiver Abfälle</w:t>
      </w:r>
    </w:p>
    <w:p>
      <w:pPr>
        <w:ind w:left="420"/>
      </w:pPr>
      <w:r>
        <w:t xml:space="preserve">1. führt das für die kerntechnische Sicherheit und den Strahlenschutz zuständige Bundesministerium eine Selbstbewertung des Gesetzes-, Vollzugs- und Organisationsrahmens für die nukleare Sicherheit kerntechnischer Anlagen und für die sichere Entsorgung abgebrannter Brennelemente und radioaktiver Abfälle sowie des diesbezüglichen Behördenhandelns durch;</w:t>
      </w:r>
    </w:p>
    <w:p>
      <w:pPr>
        <w:ind w:left="420"/>
      </w:pPr>
      <w:r>
        <w:t xml:space="preserve">2. lädt das für die kerntechnische Sicherheit und den Strahlenschutz zuständige Bundesministerium internationale Experten zu einer Prüfung passender Segmente des Gesetzes-, Vollzugs- und Organisationsrahmens für die nukleare Sicherheit kerntechnischer Anlagen und für die sichere Entsorgung abgebrannter Brennelemente und radioaktiver Abfälle sowie der jeweils teilnehmenden zuständigen Behörden ein; über die Ergebnisse der Prüfung berichtet das für die kerntechnische Sicherheit und den Strahlenschutz zuständige Bundesministerium den Mitgliedstaaten der Europäischen Union und der Europäischen Kommission, sobald diese Ergebnisse verfügbar sind.</w:t>
      </w:r>
    </w:p>
    <w:p>
      <w:r>
        <w:t xml:space="preserve">Die Maßnahmen nach Satz 1 erfolgen mindestens alle zehn Jahre. Die Maßnahmen nach Satz 1 können getrennt für die nukleare Sicherheit kerntechnischer Anlagen und für die sichere Entsorgung abgebrannter Brennelemente und radioaktiver Abfälle durchgeführt werden. Die Selbstbewertung nach Satz 1 Nummer 1 umfasst für die Entsorgung abgebrannter Brennelemente und radioaktiver Abfälle auch das Nationale Entsorgungsprogramm nach § 2c sowie dessen Umsetzung.</w:t>
      </w:r>
    </w:p>
    <w:p>
      <w:r>
        <w:t xml:space="preserve">(2) Das für die kerntechnische Sicherheit und den Strahlenschutz zuständige Bundesministerium</w:t>
      </w:r>
    </w:p>
    <w:p>
      <w:pPr>
        <w:ind w:left="420"/>
      </w:pPr>
      <w:r>
        <w:t xml:space="preserve">1. veranlasst im Hinblick auf ein ausgewähltes technisches Thema im Zusammenhang mit der nuklearen Sicherheit eine Selbstbewertung der in Betracht kommenden und sich im Geltungsbereich dieses Gesetzes befindlichen kerntechnischen Anlagen,</w:t>
      </w:r>
    </w:p>
    <w:p>
      <w:pPr>
        <w:ind w:left="420"/>
      </w:pPr>
      <w:r>
        <w:t xml:space="preserve">2. lädt zu der gegenseitigen Überprüfung der Bewertung nach Nummer 1 alle Mitgliedstaaten der Europäischen Union sowie, als Beobachter, die Europäische Kommission ein,</w:t>
      </w:r>
    </w:p>
    <w:p>
      <w:pPr>
        <w:ind w:left="420"/>
      </w:pPr>
      <w:r>
        <w:t xml:space="preserve">3. veranlasst angemessene Folgemaßnahmen zu den Erkenntnissen, die aus dieser gegenseitigen Überprüfung gewonnen wurden und</w:t>
      </w:r>
    </w:p>
    <w:p>
      <w:pPr>
        <w:ind w:left="420"/>
      </w:pPr>
      <w:r>
        <w:t xml:space="preserve">4. veröffentlicht einen Bericht über das Bewertungsverfahren und dessen wichtigste Ergebnisse, sobald diese vorliegen.</w:t>
      </w:r>
    </w:p>
    <w:p>
      <w:r>
        <w:t xml:space="preserve">Die erste Selbstbewertung nach Absatz 2 Satz 1 Nummer 1 leitet das für die kerntechnische Sicherheit und den Strahlenschutz zuständige Bundesministerium im Jahr 2017 ein, danach mindestens alle sechs Jahre.</w:t>
      </w:r>
    </w:p>
    <w:p>
      <w:r>
        <w:t xml:space="preserve">(3) Im Falle eines Unfalls in einer kerntechnischen Anlage, der Maßnahmen des anlagenexternen Notfallschutzes erfordert, lädt das für die kerntechnische Sicherheit und den Strahlenschutz zuständige Bundesministerium unverzüglich zu einer internationalen Überprüfung ein.</w:t>
      </w:r>
    </w:p>
    <w:p>
      <w:r>
        <w:rPr>
          <w:color w:val="555555"/>
          <w:sz w:val="17"/>
        </w:rPr>
        <w:t xml:space="preserve">Zitiervorschlag: § 24b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https://recht.nulegal.eu/gesetze/AtG/24b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