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AtG — Rangfolge der Befriedigung aus der Deckungsvorsorge</w:t>
      </w:r>
    </w:p>
    <w:p>
      <w:r>
        <w:rPr>
          <w:color w:val="555555"/>
          <w:sz w:val="18"/>
        </w:rPr>
        <w:t xml:space="preserve">Atomgesetz</w:t>
      </w:r>
    </w:p>
    <w:p>
      <w:r>
        <w:rPr>
          <w:color w:val="555555"/>
          <w:sz w:val="18"/>
        </w:rPr>
        <w:t xml:space="preserve">Stand: 17.02.2022 (konsolidierte Textfassung, kein amtliches Inkrafttretensdatum)</w:t>
      </w:r>
    </w:p>
    <w:p>
      <w:r>
        <w:t xml:space="preserve">(1) Sind der zur Deckungsvorsorge verpflichtete Inhaber einer Kernanlage und ein Geschädigter im Zeitpunkt des Eintritts des nuklearen Ereignisses Konzernunternehmen eines Konzerns im Sinne des § 18 des Aktiengesetzes, so darf die Deckungsvorsorge zur Erfüllung gesetzlicher Schadensersatzansprüche dieses Geschädigten nur herangezogen werden, wenn dadurch nicht die Deckung der Ersatzansprüche sonstiger Geschädigter beeinträchtigt wird. Kernanlagen im Sinne des Satzes 1 sind auch Reaktoren, die Teil eines Beförderungsmittels sind.</w:t>
      </w:r>
    </w:p>
    <w:p>
      <w:r>
        <w:t xml:space="preserve">(2) Ist ein nuklearer Schaden an einer industriellen Anlage in der Nähe der Kernanlage eingetreten, so findet Absatz 1 Satz 1 entsprechende Anwendung, wenn der Standort dazu dient, aus der Kernanlage stammende Energie für Produktionsprozesse zu nutzen.</w:t>
      </w:r>
    </w:p>
    <w:p>
      <w:r>
        <w:t xml:space="preserve">(3) Die Deckungsvorsorge darf zur Erfüllung von Ansprüchen nach § 28 Absatz 3 nur herangezogen werden, wenn dadurch nicht die Deckung der Ersatzansprüche sonstiger Geschädigter beeinträchtigt wird.</w:t>
      </w:r>
    </w:p>
    <w:p>
      <w:r>
        <w:t xml:space="preserve">(4) Die nach Absatz 3 nachrangig zu erfüllenden Ersatzansprüche gehen den nachrangig zu erfüllenden Ersatzansprüchen nach den Absätzen 1 und 2 vor. Die nach den Absätzen 1 und 2 nachrangig zu erfüllenden Ersatzansprüche sind untereinander gleichrangig.</w:t>
      </w:r>
    </w:p>
    <w:p>
      <w:r>
        <w:rPr>
          <w:color w:val="555555"/>
          <w:sz w:val="17"/>
        </w:rPr>
        <w:t xml:space="preserve">Zitiervorschlag: § 15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