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AtG — Haftpflichtversicherung und sonstige Deckungsvorsorge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Deckungsvorsorge bei Anlagen und Tätigkeiten, bei denen eine Haftung nach dem Pariser Übereinkommen in Verbindung mit § 25 Abs. 1 bis 4, nach § 25a, nach einem der in § 25a Abs. 2 genannten internationalen Verträge oder nach § 26 Abs. 1 in Verbindung mit Abs. 1a in Betracht kommt, durch eine Haftpflichtversicherung erbracht, gelten für diese, ohne dass ein Direktanspruch im Sinn von § 115 des Versicherungsvertragsgesetzes begründet wird, die §§ 117 und 119 bis 122 des Versicherungsvertragsgesetzes entsprechend mit der Maßgabe, dass die Frist des § 117 Abs. 2 des Versicherungsvertragsgesetzes zwei Monate beträgt und ihr Ablauf bei der Haftung für die Beförderung von Kernmaterialien und radioaktiven Stoffen, die ihnen nach § 26 Abs. 1a gleichgestellt sind, für die Dauer der Beförderung gehemmt ist; bei Anwendung des § 117 Abs. 3 Satz 2 des Versicherungsvertragsgesetzes bleibt die Freistellungsverpflichtung nach § 34 außer Betracht. § 109 des Versicherungsvertragsgesetzes ist nicht anzuwenden.</w:t>
      </w:r>
    </w:p>
    <w:p>
      <w:r>
        <w:t xml:space="preserve">(2) Wird die Deckungsvorsorge anstatt durch eine Haftpflichtversicherung durch eine sonstige finanzielle Sicherheit erbracht, gilt Absatz 1 entsprechend.</w:t>
      </w:r>
    </w:p>
    <w:p>
      <w:r>
        <w:rPr>
          <w:color w:val="555555"/>
          <w:sz w:val="17"/>
        </w:rPr>
        <w:t xml:space="preserve">Zitiervorschlag: § 14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