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12a AtG — Ermächtigungsvorschrift (Entscheidung des Direktionsausschusses)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17.02.2022 (konsolidierte Textfassung, kein amtliches Inkrafttretensdatum)</w:t>
      </w:r>
    </w:p>
    <w:p>
      <w:r>
        <w:t xml:space="preserve">Die Bundesregierung wird ermächtigt, mit Zustimmung des Bundesrates Entscheidungen des Direktionsausschusses nach Artikel 1 Abs. a Ziffer ii und iii und Abs. b des Pariser Übereinkommens durch Rechtsverordnung in Kraft zu setzen, sofern dies zur Erfüllung der in § 1 bezeichneten Zwecke erforderlich ist.</w:t>
      </w:r>
    </w:p>
    <w:p>
      <w:r>
        <w:rPr>
          <w:color w:val="555555"/>
          <w:sz w:val="17"/>
        </w:rPr>
        <w:t xml:space="preserve">Zitiervorschlag: § 12a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https://recht.nulegal.eu/gesetze/AtG/12a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