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AtG — Ermächtigungsvorschriften (Genehmigung, Anzeige, allgemeine Zulassung)</w:t>
      </w:r>
    </w:p>
    <w:p>
      <w:r>
        <w:rPr>
          <w:color w:val="555555"/>
          <w:sz w:val="18"/>
        </w:rPr>
        <w:t xml:space="preserve">Atomgesetz</w:t>
      </w:r>
    </w:p>
    <w:p>
      <w:r>
        <w:rPr>
          <w:color w:val="555555"/>
          <w:sz w:val="18"/>
        </w:rPr>
        <w:t xml:space="preserve">Stand: 05.06.2021 (konsolidierte Textfassung, kein amtliches Inkrafttretensdatum)</w:t>
      </w:r>
    </w:p>
    <w:p>
      <w:r>
        <w:t xml:space="preserve">(1) Soweit nicht durch dieses Gesetz für Kernbrennstoffe und für Anlagen im Sinne des § 7 eine besondere Regelung getroffen ist, kann durch Rechtsverordnung zur Erreichung der in § 1 bezeichneten Zwecke bestimmt werden,</w:t>
      </w:r>
    </w:p>
    <w:p>
      <w:pPr>
        <w:ind w:left="420"/>
      </w:pPr>
      <w:r>
        <w:t xml:space="preserve">1. daß die Aufsuchung von radioaktiven Stoffen, der Umgang mit radioaktiven Stoffen, der Verkehr mit radioaktiven Stoffen (Erwerb und Abgabe an andere), die Beförderung und die Ein- und Ausfuhr dieser Stoffe einer Genehmigung oder Anzeige bedürfen sowie unter welchen Voraussetzungen und mit welchen Nebenbestimmungen sowie in welchem Verfahren eine Freigabe radioaktiver Stoffe zum Zweck der Entlassung aus der Überwachung nach diesem Gesetz oder einer auf Grund dieses Gesetzes erlassenen Rechtsverordnung oder eine Entlassung radioaktiver Stoffe natürlichen Ursprungs aus der Überwachung nach diesen Vorschriften erfolgt, wer die Freigabe beantragen kann und welche Pflichten im Zusammenhang mit der Freigabe zu beachten sind, insbesondere, dass und auf welche Weise über diese Stoffe Buch zu führen und der zuständigen Behörde Mitteilung zu erstatten ist und welches Verfahren anzuwenden ist sowie welche Mitteilungspflichten bestehen, wenn die Voraussetzungen für die Freigabe nicht mehr bestehen,</w:t>
      </w:r>
    </w:p>
    <w:p>
      <w:pPr>
        <w:ind w:left="420"/>
      </w:pPr>
      <w:r>
        <w:t xml:space="preserve">2. daß sicherheitstechnisch bedeutsame Anlagenteile, mit deren Fertigung bereits vor Antragstellung oder vor Erteilung einer Genehmigung begonnen werden soll, in Anlagen nach § 7 Abs. 1 Satz 1 nur dann eingebaut werden dürfen, wenn für die Vorfertigung ein berechtigtes Interesse besteht und in einem Prüfverfahren nachgewiesen wird, daß Werkstoffe, Auslegung, Konstruktion und Fertigung die Voraussetzungen nach § 7 Abs. 2 Nr. 3 erfüllen, welche Behörde für das Verfahren zuständig ist, welche Unterlagen beizubringen sind und welche Rechtswirkungen der Zulassung der Vorfertigung zukommen sollen,</w:t>
      </w:r>
    </w:p>
    <w:p>
      <w:pPr>
        <w:ind w:left="420"/>
      </w:pPr>
      <w:r>
        <w:t xml:space="preserve">3. daß radioaktive Stoffe in bestimmter Art und Weise oder für bestimmte Zwecke nicht verwendet oder nur in bestimmter Art und Weise beseitigt oder nicht in Verkehr gebracht oder grenzüberschreitend verbracht werden dürfen, soweit das Verbot zum Schutz von Leben und Gesundheit der Bevölkerung vor den Gefahren radioaktiver Stoffe oder zur Durchsetzung von Beschlüssen internationaler Organisationen, deren Mitglied die Bundesrepublik Deutschland ist, erforderlich ist,</w:t>
      </w:r>
    </w:p>
    <w:p>
      <w:pPr>
        <w:ind w:left="420"/>
      </w:pPr>
      <w:r>
        <w:t xml:space="preserve">4. daß zur Umsetzung von Rechtsakten der Europäischen Gemeinschaften die Ein-, Aus- und Durchfuhr (grenzüberschreitende Verbringung) radioaktiver Stoffe einer Genehmigung oder Zustimmung bedarf, Anzeigen und Meldungen zu erstatten und Unterlagen mitzuführen sind. Es kann weiterhin bestimmt werden, daß Zustimmungen mit Nebenbestimmungen versehen werden können.</w:t>
      </w:r>
    </w:p>
    <w:p>
      <w:r>
        <w:t xml:space="preserve">(2) Die Rechtsverordnung kann Genehmigungen, Zustimmungen nach Absatz 1 Nummer 4 und allgemeine Zulassungen im Rahmen der Zweckbestimmung dieses Gesetzes von persönlichen und sachlichen Voraussetzungen abhängig machen sowie das Verfahren bei Genehmigungen, Zustimmungen nach Absatz 1 Nummer 4 und allgemeinen Zulassungen regeln.</w:t>
      </w:r>
    </w:p>
    <w:p>
      <w:r>
        <w:t xml:space="preserve">(3) Sofern eine Freigabe radioaktiver Stoffe oder eine Entlassung radioaktiver Stoffe natürlichen Ursprungs nach einer auf Grund von Absatz 1 Nr. 1 erlassenen Rechtsverordnung die Beseitigung nach den Vorschriften des Kreislaufwirtschaftsgesetzes oder den auf dessen Grundlage oder auf der Grundlage des bis zum 1. Juni 2012 geltenden Kreislaufwirtschafts- und Abfallgesetzes erlassenen Rechtsverordnungen vorsieht, dürfen diese Stoffe nach den genannten Vorschriften nicht wieder verwendet oder verwertet werden.</w:t>
      </w:r>
    </w:p>
    <w:p>
      <w:r>
        <w:rPr>
          <w:color w:val="555555"/>
          <w:sz w:val="17"/>
        </w:rPr>
        <w:t xml:space="preserve">Zitiervorschlag: § 11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