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AtG — Erstreckung auf strahlenschutzrechtliche Genehmigungen; Ausnahmen vom Erfordernis der Genehmigung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Genehmigung nach § 3 Absatz 1 kann sich auch auf eine genehmigungsbedürftige Verbringung nach der auf Grund des § 30 des Strahlenschutzgesetzes erlassenen Rechtsverordnung beziehen.</w:t>
      </w:r>
    </w:p>
    <w:p>
      <w:r>
        <w:t xml:space="preserve">(2) Eine Genehmigung nach den §§ 6, 7, 9 oder 9b oder ein Planfeststellungsbeschluss nach § 9b kann sich auch auf einen genehmigungsbedürftigen Umgang nach § 12 Absatz 1 Nummer 3 des Strahlenschutzgesetzes beziehen.</w:t>
      </w:r>
    </w:p>
    <w:p>
      <w:r>
        <w:t xml:space="preserve">(3) Eine Genehmigung nach § 4 Absatz 1 kann sich auf eine genehmigungsbedürftige Beförderung nach § 27 des Strahlenschutzgesetzes beziehen, soweit es sich um denselben Beförderungsvorgang handelt.</w:t>
      </w:r>
    </w:p>
    <w:p>
      <w:r>
        <w:t xml:space="preserve">(4) Wer als Arbeitnehmer oder Arbeitnehmerin oder anderweitig unter der Aufsicht stehend im Rahmen einer nach diesem Gesetz genehmigungsbedürftigen Tätigkeit beschäftigt wird, bedarf keiner Genehmigung nach diesem Gesetz.</w:t>
      </w:r>
    </w:p>
    <w:p>
      <w:r>
        <w:rPr>
          <w:color w:val="555555"/>
          <w:sz w:val="17"/>
        </w:rPr>
        <w:t xml:space="preserve">Zitiervorschlag: § 10a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