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AtG — Zweckbestimmung des Gesetzes</w:t>
      </w:r>
    </w:p>
    <w:p>
      <w:r>
        <w:rPr>
          <w:color w:val="555555"/>
          <w:sz w:val="18"/>
        </w:rPr>
        <w:t xml:space="preserve">Atomgesetz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Zweck dieses Gesetzes ist,</w:t>
      </w:r>
    </w:p>
    <w:p>
      <w:pPr>
        <w:ind w:left="420"/>
      </w:pPr>
      <w:r>
        <w:t xml:space="preserve">1. die Nutzung der Kernenergie zur gewerblichen Erzeugung von Elektrizität geordnet zu beenden und bis zum Zeitpunkt der Beendigung den geordneten Betrieb sicherzustellen,</w:t>
      </w:r>
    </w:p>
    <w:p>
      <w:pPr>
        <w:ind w:left="420"/>
      </w:pPr>
      <w:r>
        <w:t xml:space="preserve">2. Leben, Gesundheit und Sachgüter vor den Gefahren der Kernenergie und der schädlichen Wirkung ionisierender Strahlen zu schützen und durch Kernenergie oder ionisierende Strahlen verursachte Schäden auszugleichen,</w:t>
      </w:r>
    </w:p>
    <w:p>
      <w:pPr>
        <w:ind w:left="420"/>
      </w:pPr>
      <w:r>
        <w:t xml:space="preserve">3. zu verhindern, daß durch Anwendung oder Freiwerden der Kernenergie oder ionisierender Strahlen die innere oder äußere Sicherheit der Bundesrepublik Deutschland gefährdet wird,</w:t>
      </w:r>
    </w:p>
    <w:p>
      <w:pPr>
        <w:ind w:left="420"/>
      </w:pPr>
      <w:r>
        <w:t xml:space="preserve">4. die Erfüllung internationaler Verpflichtungen der Bundesrepublik Deutschland auf dem Gebiet der Kernenergie und des Strahlenschutzes zu gewährleisten.</w:t>
      </w:r>
    </w:p>
    <w:p>
      <w:r>
        <w:rPr>
          <w:color w:val="555555"/>
          <w:sz w:val="17"/>
        </w:rPr>
        <w:t xml:space="preserve">Zitiervorschlag: § 1 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