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AtEV — Umgehungsverbot</w:t>
      </w:r>
    </w:p>
    <w:p>
      <w:r>
        <w:rPr>
          <w:color w:val="555555"/>
          <w:sz w:val="18"/>
        </w:rPr>
        <w:t xml:space="preserve">Atomrechtliche Entsorgungsverordnung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Niemand darf sich den Pflichten dieser Verordnung dadurch entziehen, dass er radioaktive Abfälle aus zulassungsbedürftigen Tätigkeiten ohne Zulassung unter Inanspruchnahme der Regelung des § 5 Absatz 1 der Strahlenschutzverordnung durch Verdünnung oder Aufteilung in Freigrenzenmengen beseitigt, beseitigen lässt oder die Beseitigung dieser radioaktiven Abfälle ermöglicht. § 34 der Strahlenschutzverordnung bleibt unberührt.</w:t>
      </w:r>
    </w:p>
    <w:p>
      <w:r>
        <w:rPr>
          <w:color w:val="555555"/>
          <w:sz w:val="17"/>
        </w:rPr>
        <w:t xml:space="preserve">Zitiervorschlag: § 8 AtEV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https://recht.nulegal.eu/gesetze/AtEV/8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