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AtEV — Zwischenlagerung</w:t>
      </w:r>
    </w:p>
    <w:p>
      <w:r>
        <w:rPr>
          <w:color w:val="555555"/>
          <w:sz w:val="18"/>
        </w:rPr>
        <w:t xml:space="preserve">Atomrechtliche Entsorgungsverordnung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Bis zur Inbetriebnahme von Anlagen des Bundes zur Sicherstellung und zur Endlagerung radioaktiver Abfälle sind die nach § 5 Absatz 1 oder 2 abzuliefernden radioaktiven Abfälle vom Ablieferungspflichtigen zwischenzulagern. Die Zwischenlagerung kann auch von mehreren Ablieferungspflichtigen gemeinsam oder durch Dritte erfolgen. § 2 des Entsorgungsübergangsgesetzes bleibt unberührt.</w:t>
      </w:r>
    </w:p>
    <w:p>
      <w:r>
        <w:t xml:space="preserve">(2) Nach Inbetriebnahme von Anlagen des Bundes zur Sicherstellung und zur Endlagerung radioaktiver Abfälle werden die zwischengelagerten radioaktiven Abfälle von dem Dritten nach § 9a Absatz 3 Satz 2 zweiter Halbsatz des Atomgesetzes abgerufen.</w:t>
      </w:r>
    </w:p>
    <w:p>
      <w:r>
        <w:rPr>
          <w:color w:val="555555"/>
          <w:sz w:val="17"/>
        </w:rPr>
        <w:t xml:space="preserve">Zitiervorschlag: § 7 AtEV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https://recht.nulegal.eu/gesetze/AtEV/7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