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AtEV — Behandlung und Verpackung</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Die zuständige Behörde oder eine von ihr bestimmte Stelle kann die Art der Behandlung und Verpackung radioaktiver Abfälle vor deren Ablieferung entsprechend den jeweiligen Anforderungen der Einrichtung, an die abzuliefern ist, anordnen und einen Nachweis über die Einhaltung dieser Anordnung verlangen. Der Dritte nach § 9a Absatz 3 Satz 2 zweiter Halbsatz des Atomgesetzes legt alle sicherheitstechnischen Anforderungen an Abfallgebinde, die für die Endlagerung bestimmt sind, sowie die Vorgaben für die Behandlung der darin enthaltenen Abfälle fest und stellt die Endlagerfähigkeit der nach diesen Anforderungen und Vorgaben hergestellten Abfallgebinde fest.</w:t>
      </w:r>
    </w:p>
    <w:p>
      <w:r>
        <w:t xml:space="preserve">(2) Bei der Behandlung und Verpackung radioaktiver Abfälle zur Herstellung endlagerfähiger Abfallgebinde sind Verfahren anzuwenden, deren Anwendung der Dritte nach § 9a Absatz 3 Satz 2 zweiter Halbsatz des Atomgesetzes zugestimmt hat. Für radioaktive Abfälle, die nach § 5 Absatz 4 an Landessammelstellen abgeliefert worden sind und die nach Absatz 1 Satz 2 behandelt und verpackt wurden, trägt der Bund die Kosten, die sich aus einer nachträglichen Änderung der Anforderungen und Vorgaben ergeben. § 1 Absatz 3 gilt entsprechend.</w:t>
      </w:r>
    </w:p>
    <w:p>
      <w:r>
        <w:t xml:space="preserve">(3) Behälter oder sonstige Einheiten zur Verpackung radioaktiver Abfälle sind mit einer Kennzeichnung nach Anlage Teil B zu versehen. § 1 Absatz 3 gilt entsprechend.</w:t>
      </w:r>
    </w:p>
    <w:p>
      <w:r>
        <w:t xml:space="preserve">(4) Anforderungen auf der Grundlage des Gefahrgutbeförderungsgesetzes bleiben unberührt.</w:t>
      </w:r>
    </w:p>
    <w:p>
      <w:r>
        <w:rPr>
          <w:color w:val="555555"/>
          <w:sz w:val="17"/>
        </w:rPr>
        <w:t xml:space="preserve">Zitiervorschlag: § 3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