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AtEV — Übergangsvorschriften</w:t>
      </w:r>
    </w:p>
    <w:p>
      <w:r>
        <w:rPr>
          <w:color w:val="555555"/>
          <w:sz w:val="18"/>
        </w:rPr>
        <w:t xml:space="preserve">Atomrechtliche Entsorgungsverordnung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Verwaltungsakte, die auf Grund der §§ 72 bis 79 einschließlich der Anlage X der Strahlenschutzverordnung in der bis zum 31. Dezember 2018 geltenden Fassung erlassen wurden, gelten als solche nach dieser Verordnung fort.</w:t>
      </w:r>
    </w:p>
    <w:p>
      <w:r>
        <w:t xml:space="preserve">(2) Soweit nach § 2 zu erfassende Angaben zum Zeitpunkt des Inkrafttretens dieser Verordnung nicht elektronisch vorliegen, sind sie bis zum 31. Dezember 2026 in elektronische Buchführungssysteme zu überführen.</w:t>
      </w:r>
    </w:p>
    <w:p>
      <w:r>
        <w:rPr>
          <w:color w:val="555555"/>
          <w:sz w:val="17"/>
        </w:rPr>
        <w:t xml:space="preserve">Zitiervorschlag: § 11 AtEV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https://recht.nulegal.eu/gesetze/AtEV/11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