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8b AtDeckV 1977 — Deckung bei Schäden gemäß § 26 Absatz 1a des Atomgesetzes</w:t>
      </w:r>
    </w:p>
    <w:p>
      <w:r>
        <w:rPr>
          <w:color w:val="555555"/>
          <w:sz w:val="18"/>
        </w:rPr>
        <w:t xml:space="preserve">Atomrechtliche Deckungsvorsorge-Verordnung</w:t>
      </w:r>
    </w:p>
    <w:p>
      <w:r>
        <w:rPr>
          <w:color w:val="555555"/>
          <w:sz w:val="18"/>
        </w:rPr>
        <w:t xml:space="preserve">Stand: 17.02.2022 (konsolidierte Textfassung, kein amtliches Inkrafttretensdatum)</w:t>
      </w:r>
    </w:p>
    <w:p>
      <w:r>
        <w:t xml:space="preserve">Für die Bestimmung der Deckungsvorsorge bei Schäden gemäß § 26 Absatz 1a des Atomgesetzes gilt § 8a Absatz 1 entsprechend.</w:t>
      </w:r>
    </w:p>
    <w:p>
      <w:r>
        <w:rPr>
          <w:color w:val="555555"/>
          <w:sz w:val="17"/>
        </w:rPr>
        <w:t xml:space="preserve">Zitiervorschlag: § 8b AtDeckV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https://recht.nulegal.eu/gesetze/AtDeckV%201977/8b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