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AtDeckV 1977 — Neufestsetzung der Deckungsvorsorge</w:t>
      </w:r>
    </w:p>
    <w:p>
      <w:r>
        <w:rPr>
          <w:color w:val="555555"/>
          <w:sz w:val="18"/>
        </w:rPr>
        <w:t xml:space="preserve">Atomrechtliche Deckungsvorsorge-Verordnung</w:t>
      </w:r>
    </w:p>
    <w:p>
      <w:r>
        <w:rPr>
          <w:color w:val="555555"/>
          <w:sz w:val="18"/>
        </w:rPr>
        <w:t xml:space="preserve">Stand: 17.02.2022 (konsolidierte Textfassung, kein amtliches Inkrafttretensdatum)</w:t>
      </w:r>
    </w:p>
    <w:p>
      <w:r>
        <w:t xml:space="preserve">Entspricht die Deckungsvorsorge für eine vor Inkrafttreten dieser Verordnung genehmigte Tätigkeit nicht mehr den Anforderungen dieser Verordnung, so ist die Deckungsvorsorge bei der nächsten Festsetzung nach § 13 Absatz 1 Satz 2 des Atomgesetzes neu festzusetzen, wobei die Neufestsetzung für Kernanlagen und für die Beförderung von Kernmaterialien spätestens innerhalb von sechs Monaten nach Inkrafttreten dieser Verordnung und in den sonstigen Fällen innerhalb eines Jahres nach Inkrafttreten dieser Verordnung zu erfolgen hat.</w:t>
      </w:r>
    </w:p>
    <w:p>
      <w:r>
        <w:rPr>
          <w:color w:val="555555"/>
          <w:sz w:val="17"/>
        </w:rPr>
        <w:t xml:space="preserve">Zitiervorschlag: § 20 AtDeckV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https://recht.nulegal.eu/gesetze/AtDeckV%201977/20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AtDeckV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