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AtDeckV 1977 — Haftpflichtversicherung</w:t>
      </w:r>
    </w:p>
    <w:p>
      <w:r>
        <w:rPr>
          <w:color w:val="555555"/>
          <w:sz w:val="18"/>
        </w:rPr>
        <w:t xml:space="preserve">Atomrechtliche Deckungsvorsorge-Verordnung</w:t>
      </w:r>
    </w:p>
    <w:p>
      <w:r>
        <w:rPr>
          <w:color w:val="555555"/>
          <w:sz w:val="18"/>
        </w:rPr>
        <w:t xml:space="preserve">Stand: 17.02.2022 (konsolidierte Textfassung, kein amtliches Inkrafttretensdatum)</w:t>
      </w:r>
    </w:p>
    <w:p>
      <w:r>
        <w:t xml:space="preserve">(1) Durch eine Haftpflichtversicherung kann die Deckungsvorsorge nur erbracht werden, wenn sie bei einem im Inland zum Betrieb der Haftpflichtversicherung befugten Versicherungsunternehmen genommen wird. Für eine grenzüberschreitende Beförderung nach § 4a des Atomgesetzes kann sie auch bei einem Versicherungsunternehmen eines Drittstaates im Sinne des § 7 Nummer 34 des Versicherungsaufsichtsgesetzes, das in seinem Sitzland zum Betrieb der Haftpflichtversicherung befugt ist, genommen werden, wenn neben ihm ein nach Satz 1 befugtes Versicherungsunternehmen oder ein Verband solcher Versicherungsunternehmen die Pflichten eines Haftpflichtversicherers übernimmt.</w:t>
      </w:r>
    </w:p>
    <w:p>
      <w:r>
        <w:t xml:space="preserve">(2) Sofern der Bund und die Länder verpflichtet sind, den zur Deckungsvorsorge Verpflichteten von Schadensersatzansprüchen freizustellen oder die Befriedigung der gegen ihn gerichteten Schadensersatzansprüche sicherzustellen, muss der Versicherungsvertrag zugunsten der Bundesrepublik Deutschland und des betroffenen Bundeslandes die Verpflichtung des Versicherers enthalten, der Verwaltungsbehörde jede Änderung des Vertrages, jedes Schadensereignis, jede Geltendmachung von Schadensersatzansprüchen und jede Leistung zur Erfüllung von Schadensersatzverpflichtungen unverzüglich anzuzeigen, sobald ihm diese Umstände bekannt werden.</w:t>
      </w:r>
    </w:p>
    <w:p>
      <w:r>
        <w:rPr>
          <w:color w:val="555555"/>
          <w:sz w:val="17"/>
        </w:rPr>
        <w:t xml:space="preserve">Zitiervorschlag: § 2 AtDeckV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https://recht.nulegal.eu/gesetze/AtDeckV%201977/2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