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AtDeckV 1977 — Abrundung der Deckungssumme</w:t>
      </w:r>
    </w:p>
    <w:p>
      <w:r>
        <w:rPr>
          <w:color w:val="555555"/>
          <w:sz w:val="18"/>
        </w:rPr>
        <w:t xml:space="preserve">Atomrechtliche Deckungsvorsorge-Verordnung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(1) Die Deckungssumme ist auf volle 50 000 Euro festzusetzen.</w:t>
      </w:r>
    </w:p>
    <w:p>
      <w:r>
        <w:t xml:space="preserve">(2) Ergibt sich aus den Vorschriften über die Deckungssumme ein Zwischenbetrag unter 25 000 Euro, so ist nach unten, im übrigen ist nach oben abzurunden.</w:t>
      </w:r>
    </w:p>
    <w:p>
      <w:r>
        <w:rPr>
          <w:color w:val="555555"/>
          <w:sz w:val="17"/>
        </w:rPr>
        <w:t xml:space="preserve">Zitiervorschlag: § 19 AtDeckV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https://recht.nulegal.eu/gesetze/AtDeckV%201977/19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AtDeckV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