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AtDeckV 1977 — Ermittlung der Deckungssumme im Einzelfall</w:t>
      </w:r>
    </w:p>
    <w:p>
      <w:r>
        <w:rPr>
          <w:color w:val="555555"/>
          <w:sz w:val="18"/>
        </w:rPr>
        <w:t xml:space="preserve">Atomrechtliche Deckungsvorsorge-Verordnung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(1) Ist die Regeldeckungssumme nach den Umständen des Einzelfalls nicht angemessen, so kann die Verwaltungsbehörde die Deckungssumme im Rahmen der Höchstgrenze des § 13 Absatz 3 Satz 2 des Atomgesetzes und unter Beachtung der Höchst- und Mindestgrenzen nach § 7 Absatz 2 bis auf das Zweifache der Regeldeckungssumme erhöhen oder bis auf ein Drittel der Regeldeckungssumme ermäßigen.</w:t>
      </w:r>
    </w:p>
    <w:p>
      <w:r>
        <w:t xml:space="preserve">(2) Bei der Ermittlung der nach den Umständen des Einzelfalls angemessenen Deckungssumme ist insbesondere zu berücksichtigen,</w:t>
      </w:r>
    </w:p>
    <w:p>
      <w:pPr>
        <w:ind w:left="420"/>
      </w:pPr>
      <w:r>
        <w:t xml:space="preserve">1. ob und in welchem Umfang die Möglichkeit besteht oder auszuschließen ist, dass andere Personen als der zur Deckungsvorsorge Verpflichtete und seine Beschäftigten Schäden an Leben, Gesundheit, Körper und Sachgütern erleiden,</w:t>
      </w:r>
    </w:p>
    <w:p>
      <w:pPr>
        <w:ind w:left="420"/>
      </w:pPr>
      <w:r>
        <w:t xml:space="preserve">2. welches Maß an Sicherheit durch Schutzmaßnahmen und Schutzeinrichtungen erreicht wird,</w:t>
      </w:r>
    </w:p>
    <w:p>
      <w:pPr>
        <w:ind w:left="420"/>
      </w:pPr>
      <w:r>
        <w:t xml:space="preserve">3. ob und in welchem Umfang unter Berücksichtigung der meteorologischen und hydrologischen Verhältnisse die Möglichkeit besteht oder auszuschließen ist, dass die radioaktiven Stoffe verbreitet werden, insbesondere als Gase, Aerosole oder Flüssigkeiten,</w:t>
      </w:r>
    </w:p>
    <w:p>
      <w:pPr>
        <w:ind w:left="420"/>
      </w:pPr>
      <w:r>
        <w:t xml:space="preserve">4. welche Dauer der Gefährdung insbesondere mit Rücksicht auf die Halbwertzeit der radioaktiven Stoffe anzunehmen ist,</w:t>
      </w:r>
    </w:p>
    <w:p>
      <w:pPr>
        <w:ind w:left="420"/>
      </w:pPr>
      <w:r>
        <w:t xml:space="preserve">5. ob wegen der Art, Masse oder Beschaffenheit der radioaktiven Stoffe Schäden auf Grund nuklearer Ereignisse infolge von Kernspaltungsvorgängen auch unter ungünstigsten Umständen ausgeschlossen werden können,</w:t>
      </w:r>
    </w:p>
    <w:p>
      <w:pPr>
        <w:ind w:left="420"/>
      </w:pPr>
      <w:r>
        <w:t xml:space="preserve">6. ob und in welchem Umfang im Falle der Beförderung unter Berücksichtigung des Beförderungsmittels, des Beförderungsweges, der Verpackung und der Beschaffenheit der radioaktiven Stoffe besonders hohe oder geringe Gefahren bestehen.</w:t>
      </w:r>
    </w:p>
    <w:p>
      <w:r>
        <w:rPr>
          <w:color w:val="555555"/>
          <w:sz w:val="17"/>
        </w:rPr>
        <w:t xml:space="preserve">Zitiervorschlag: § 16 AtDeckV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https://recht.nulegal.eu/gesetze/AtDeckV%201977/16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AtDeckV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