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AtDeckV 1977 — Anwendung radioaktiver Stoffe am Menschen in der medizinischen Forschung</w:t>
      </w:r>
    </w:p>
    <w:p>
      <w:r>
        <w:rPr>
          <w:color w:val="555555"/>
          <w:sz w:val="18"/>
        </w:rPr>
        <w:t xml:space="preserve">Atomrechtliche Deckungsvorsorge-Verordnung</w:t>
      </w:r>
    </w:p>
    <w:p>
      <w:r>
        <w:rPr>
          <w:color w:val="555555"/>
          <w:sz w:val="18"/>
        </w:rPr>
        <w:t xml:space="preserve">Stand: 17.02.2022 (konsolidierte Textfassung, kein amtliches Inkrafttretensdatum)</w:t>
      </w:r>
    </w:p>
    <w:p>
      <w:r>
        <w:t xml:space="preserve">Bei der Anwendung radioaktiver Stoffe oder ionisierender Strahlung am Menschen in der medizinischen Forschung muss die Deckungssumme in einem angemessenen Verhältnis zu den mit der Anwendung verbundenen Risiken stehen und auf der Grundlage der Risikoabschätzung so festgelegt werden, dass für den Fall des Todes oder der dauernden Erwerbsunfähigkeit einer jeden Person, an der die radioaktiven Stoffe oder die ionisierende Strahlung angewendet werden, mindestens 500 000 Euro zur Verfügung stehen.</w:t>
      </w:r>
    </w:p>
    <w:p>
      <w:r>
        <w:rPr>
          <w:color w:val="555555"/>
          <w:sz w:val="17"/>
        </w:rPr>
        <w:t xml:space="preserve">Zitiervorschlag: § 15 AtDeckV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https://recht.nulegal.eu/gesetze/AtDeckV%201977/15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